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59764B47" w:rsidR="00C2682A" w:rsidRPr="00AB6D88" w:rsidRDefault="00625776" w:rsidP="00FA5524">
                <w:pPr>
                  <w:rPr>
                    <w:rStyle w:val="PlaceholderText"/>
                    <w:rFonts w:cs="Arial"/>
                  </w:rPr>
                </w:pPr>
                <w:r>
                  <w:rPr>
                    <w:rStyle w:val="PlaceholderText"/>
                    <w:rFonts w:cs="Arial"/>
                  </w:rPr>
                  <w:t>Atacama Partners GmbH</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B2F01CB"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625776">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Content>
            <w:tc>
              <w:tcPr>
                <w:tcW w:w="5595" w:type="dxa"/>
                <w:shd w:val="clear" w:color="auto" w:fill="auto"/>
              </w:tcPr>
              <w:p w14:paraId="3EE0D441" w14:textId="111B2D34" w:rsidR="00C2682A" w:rsidRPr="00AB6D88" w:rsidRDefault="00625776"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7D1F8015" w:rsidR="00C2682A" w:rsidRPr="00AB6D88" w:rsidRDefault="00625776"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DCBA096" w14:textId="77777777" w:rsidR="00500854" w:rsidRPr="00500854" w:rsidRDefault="00500854" w:rsidP="00500854">
      <w:permStart w:id="1596738700" w:edGrp="everyone"/>
      <w:r w:rsidRPr="00500854">
        <w:rPr>
          <w:lang w:val="en-US"/>
        </w:rPr>
        <w:t>Yes, we agree with the need to introduce quantitative thresholds to assess funds’ names. The increasing demand for ESG investment funds has led to a proliferation of funds using ESG and sustainability-related terms in their names. This can result in confusion and misleading information for investors, who may not be fully aware of the actual sustainability standards met by the fund. Introducing quantitative thresholds would provide a clear and consistent benchmark for funds to demonstrate their ESG credentials, helping to prevent greenwashing and promoting transparency in the market. Furthermore, these thresholds would help ensure that funds are making meaningful contributions to sustainability objectives and not just using ESG and sustainability terms as a marketing tool. By providing clear standards for ESG investment funds, investors can make informed decisions and allocate their assets in a way that aligns with their sustainability values and goals.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6AF7A522" w:rsidR="00B92885" w:rsidRDefault="00500854" w:rsidP="00B92885">
      <w:permStart w:id="1305634831" w:edGrp="everyone"/>
      <w:r>
        <w:t>Yes.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245DB55B" w14:textId="77777777" w:rsidR="00955C1A" w:rsidRPr="00955C1A" w:rsidRDefault="00955C1A" w:rsidP="00955C1A">
      <w:permStart w:id="347949177" w:edGrp="everyone"/>
      <w:r w:rsidRPr="00955C1A">
        <w:t>Yes, we agree to include an additional threshold for the use of the word “sustainable” or any other sustainability-related term in the name of the fund, but we propose that it should be set at a lower level, such as 20%. While a 50% minimum proportion of sustainable investments is commendable, it may limit the number of funds that can use the term “sustainable” and restrict the potential for true transition to a more sustainable economy. By lowering the threshold to 20%, a wider range of investment funds with varying levels of sustainability exposure can use the term “sustainable”, promoting a more inclusive approach to ESG investing and encouraging the integration of sustainability into all investments. This would support a wider range of sustainable investments, including those that may not fall into the dark green categories, but still make meaningful contributions to sustainability objectives. It would also promote a more gradual transition to a more sustainable economy, allowing for a wider range of investment opportunities and promoting more widespread adoption of ESG practices.</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2945A68C" w14:textId="77777777" w:rsidR="00955C1A" w:rsidRPr="00955C1A" w:rsidRDefault="00955C1A" w:rsidP="00955C1A">
      <w:permStart w:id="351877901" w:edGrp="everyone"/>
      <w:r w:rsidRPr="00955C1A">
        <w:t xml:space="preserve">Yes, </w:t>
      </w:r>
      <w:r w:rsidRPr="00955C1A">
        <w:rPr>
          <w:lang w:val="en-US"/>
        </w:rPr>
        <w:t>we</w:t>
      </w:r>
      <w:r w:rsidRPr="00955C1A">
        <w:t xml:space="preserve"> think there are alternative ways to construct the threshold mechanism. One alternative proposal is to incorporate the concept of transition assets into the threshold mechanism. The draft Extended Environmental Taxonomy, published in March 2022, </w:t>
      </w:r>
      <w:r w:rsidRPr="00955C1A">
        <w:rPr>
          <w:lang w:val="en-US"/>
        </w:rPr>
        <w:t xml:space="preserve">is a great example of how this could look like as it </w:t>
      </w:r>
      <w:r w:rsidRPr="00955C1A">
        <w:t xml:space="preserve">recognizes the importance of supporting the transition to a more sustainable economy by providing guidance on </w:t>
      </w:r>
      <w:r w:rsidRPr="00955C1A">
        <w:rPr>
          <w:lang w:val="en-US"/>
        </w:rPr>
        <w:t xml:space="preserve">how to asses </w:t>
      </w:r>
      <w:r w:rsidRPr="00955C1A">
        <w:t xml:space="preserve">activities and projects that contribute to </w:t>
      </w:r>
      <w:r w:rsidRPr="00955C1A">
        <w:rPr>
          <w:lang w:val="en-US"/>
        </w:rPr>
        <w:t>the</w:t>
      </w:r>
      <w:r w:rsidRPr="00955C1A">
        <w:t xml:space="preserve"> transition</w:t>
      </w:r>
      <w:r w:rsidRPr="00955C1A">
        <w:rPr>
          <w:lang w:val="en-US"/>
        </w:rPr>
        <w:t xml:space="preserve"> of our economy</w:t>
      </w:r>
      <w:r w:rsidRPr="00955C1A">
        <w:t>. By incorporating transition assets into the threshold mechanism, investment funds that contain a significant proportion of these assets could also use sustainability-related terms in their names, recognizing their role in driving the transition to a more sustainable economy.</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E8A2106" w14:textId="77777777" w:rsidR="00955C1A" w:rsidRPr="00955C1A" w:rsidRDefault="00955C1A" w:rsidP="00955C1A">
      <w:permStart w:id="1539323392" w:edGrp="everyone"/>
      <w:r w:rsidRPr="00955C1A">
        <w:t xml:space="preserve">We do agree with setting thresholds that take into account the proposals we provided above. </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1E87C64" w14:textId="4B016AB3" w:rsidR="006C42CF" w:rsidRDefault="006C42CF" w:rsidP="006C42CF">
      <w:permStart w:id="175976681" w:edGrp="everyone"/>
      <w:r w:rsidRPr="006C42CF">
        <w:t>Yes, we agree with the need for minimum safeguards for investment funds with an ESG or sustainability-related term in their name. We believe that these safeguards should be based on the exclusion criteria</w:t>
      </w:r>
      <w:r w:rsidR="00651065">
        <w:t>,</w:t>
      </w:r>
      <w:r w:rsidRPr="006C42CF">
        <w:t xml:space="preserve"> such as Commission Delegated Regulation (EU) 2020/1818 Article 12(1)-(2). Specifically, we agree with the provisions outlined in Article 12(2) as it pertains to the EU Taxonomy and with the letters a, b, and c under Article 12(1).</w:t>
      </w:r>
    </w:p>
    <w:p w14:paraId="19A346AB" w14:textId="77777777" w:rsidR="004B65ED" w:rsidRPr="006C42CF" w:rsidRDefault="004B65ED" w:rsidP="006C42CF"/>
    <w:p w14:paraId="5EF8F725" w14:textId="235A02CC" w:rsidR="006C42CF" w:rsidRDefault="006C42CF" w:rsidP="006C42CF">
      <w:r w:rsidRPr="006C42CF">
        <w:t xml:space="preserve">However, we believe that letters d to </w:t>
      </w:r>
      <w:proofErr w:type="spellStart"/>
      <w:r w:rsidRPr="006C42CF">
        <w:t>g</w:t>
      </w:r>
      <w:proofErr w:type="spellEnd"/>
      <w:r w:rsidRPr="006C42CF">
        <w:rPr>
          <w:lang w:val="en-US"/>
        </w:rPr>
        <w:t xml:space="preserve"> </w:t>
      </w:r>
      <w:r w:rsidRPr="006C42CF">
        <w:t xml:space="preserve">under Article 12(1) in certain instances may be too restrictive and may limit the potential for investments in transition assets that are crucial in driving the transition to a more sustainable economy. In these instances, the mechanism proposed in the draft Extended Environmental Taxonomy may be more suitable as it provides a more nuanced </w:t>
      </w:r>
      <w:r w:rsidRPr="006C42CF">
        <w:rPr>
          <w:lang w:val="en-US"/>
        </w:rPr>
        <w:t>perspective</w:t>
      </w:r>
      <w:r w:rsidRPr="006C42CF">
        <w:t>, allowing for investments in transition assets that are not yet fully in line with the EU Taxonomy but contribute to the transition to a more sustainable economy.</w:t>
      </w:r>
    </w:p>
    <w:p w14:paraId="4F2A2127" w14:textId="77777777" w:rsidR="004B65ED" w:rsidRPr="006C42CF" w:rsidRDefault="004B65ED" w:rsidP="006C42CF"/>
    <w:p w14:paraId="102E3916" w14:textId="77777777" w:rsidR="006C42CF" w:rsidRPr="006C42CF" w:rsidRDefault="006C42CF" w:rsidP="006C42CF">
      <w:r w:rsidRPr="006C42CF">
        <w:t xml:space="preserve">By taking a more </w:t>
      </w:r>
      <w:r w:rsidRPr="006C42CF">
        <w:rPr>
          <w:lang w:val="en-US"/>
        </w:rPr>
        <w:t>nuanced</w:t>
      </w:r>
      <w:r w:rsidRPr="006C42CF">
        <w:t xml:space="preserve"> approach to </w:t>
      </w:r>
      <w:r w:rsidRPr="006C42CF">
        <w:rPr>
          <w:lang w:val="en-US"/>
        </w:rPr>
        <w:t>sustainable</w:t>
      </w:r>
      <w:r w:rsidRPr="006C42CF">
        <w:t xml:space="preserve"> investing, the minimum safeguards would better align with the overall aim of promoting sustainability and supporting the transition to a more sustainable economy. This would encourage investment funds to take a holistic approach to </w:t>
      </w:r>
      <w:r w:rsidRPr="006C42CF">
        <w:rPr>
          <w:lang w:val="en-US"/>
        </w:rPr>
        <w:t>sustainable</w:t>
      </w:r>
      <w:r w:rsidRPr="006C42CF">
        <w:t xml:space="preserve"> investing, integrating both traditional green investments and transition assets into their investment strategies, and promote more widespread adoption of ESG practices.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5C7C895D" w:rsidR="00B92885" w:rsidRDefault="00D62104" w:rsidP="00B92885">
      <w:permStart w:id="576722602" w:edGrp="everyone"/>
      <w:r>
        <w:t>No</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67368988" w:rsidR="00B92885" w:rsidRDefault="00C3531A" w:rsidP="00B92885">
      <w:permStart w:id="1071974531" w:edGrp="everyone"/>
      <w:r>
        <w:t>Market value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0743071" w:rsidR="00B92885" w:rsidRDefault="008913C2" w:rsidP="00B92885">
      <w:permStart w:id="1162834929" w:edGrp="everyone"/>
      <w:r>
        <w:lastRenderedPageBreak/>
        <w:t>No</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3021023E" w14:textId="5FAF00CE" w:rsidR="006C42CF" w:rsidRDefault="006C42CF" w:rsidP="00B92885">
      <w:permStart w:id="650455330" w:edGrp="everyone"/>
      <w:r w:rsidRPr="006C42CF">
        <w:t>Yes, they should</w:t>
      </w:r>
      <w:r>
        <w:t>.</w:t>
      </w:r>
    </w:p>
    <w:permEnd w:id="650455330"/>
    <w:p w14:paraId="737A5FA8" w14:textId="0771B45D"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1A71CCCE" w:rsidR="00B92885" w:rsidRDefault="00DB41DF" w:rsidP="00B92885">
      <w:permStart w:id="1876589445" w:edGrp="everyone"/>
      <w:r>
        <w:t>No</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7CB983B6" w14:textId="46259593" w:rsidR="004B65ED" w:rsidRDefault="004B65ED" w:rsidP="004B65ED">
      <w:permStart w:id="1992309739" w:edGrp="everyone"/>
      <w:r w:rsidRPr="004B65ED">
        <w:t xml:space="preserve">No, we do not agree with having specific provisions for “impact” or impact-related names in these Guidelines if our proposals under previous questions are incorporated. This is because incorporating our proposals, which allow for a more nuanced and flexible approach to </w:t>
      </w:r>
      <w:r w:rsidRPr="004B65ED">
        <w:rPr>
          <w:lang w:val="en-US"/>
        </w:rPr>
        <w:t>sustainable</w:t>
      </w:r>
      <w:r w:rsidRPr="004B65ED">
        <w:t xml:space="preserve"> investing, would automatically reflect the need for investments in transition assets that hold the potential for large positive change towards a low carbon economy.</w:t>
      </w:r>
    </w:p>
    <w:p w14:paraId="2AE80D7B" w14:textId="77777777" w:rsidR="004B65ED" w:rsidRPr="004B65ED" w:rsidRDefault="004B65ED" w:rsidP="004B65ED"/>
    <w:p w14:paraId="73FEC590" w14:textId="77777777" w:rsidR="004B65ED" w:rsidRPr="004B65ED" w:rsidRDefault="004B65ED" w:rsidP="004B65ED">
      <w:r w:rsidRPr="004B65ED">
        <w:t>If our proposals are not incorporated, however, we believe that specific provisions for “impact” or impact-related funds should be included in these Guidelines that reflect the need to allow for investments in transition assets. This would ensure that investment funds have the flexibility to invest in these assets and support the transition to a more sustainable economy, while also ensuring that the funds are transparent and accurately reflect their ESG and impact investing practices in their names.</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72FB23B2" w:rsidR="00B92885" w:rsidRDefault="004B65ED" w:rsidP="00B92885">
      <w:permStart w:id="1423966990" w:edGrp="everyone"/>
      <w:r>
        <w:t>No.</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lastRenderedPageBreak/>
        <w:t>&lt;ESMA_QUESTION_FUNA_13&gt;</w:t>
      </w:r>
    </w:p>
    <w:p w14:paraId="560CED04" w14:textId="09BEA947" w:rsidR="004B65ED" w:rsidRDefault="004B65ED" w:rsidP="004B65ED">
      <w:permStart w:id="489244833" w:edGrp="everyone"/>
      <w:r w:rsidRPr="004B65ED">
        <w:t>No, we do not agree with having a transitional period of 6 months from the date of the application of the Guidelines for existing funds. We believe that a</w:t>
      </w:r>
      <w:r w:rsidRPr="004B65ED">
        <w:rPr>
          <w:lang w:val="en-US"/>
        </w:rPr>
        <w:t xml:space="preserve"> minimum of a</w:t>
      </w:r>
      <w:r w:rsidRPr="004B65ED">
        <w:t xml:space="preserve"> 12-month transitional period would be more appropriate as this would provide investment funds with enough time to make the necessary changes without putting undue pressure on them.</w:t>
      </w:r>
    </w:p>
    <w:p w14:paraId="7270B8F8" w14:textId="77777777" w:rsidR="004B65ED" w:rsidRPr="004B65ED" w:rsidRDefault="004B65ED" w:rsidP="004B65ED"/>
    <w:p w14:paraId="2B7384E9" w14:textId="77777777" w:rsidR="004B65ED" w:rsidRDefault="004B65ED" w:rsidP="00B92885">
      <w:r w:rsidRPr="004B65ED">
        <w:t xml:space="preserve">A 6-month transitional period puts investment funds under pressure to sell their portfolio at a financial disadvantage for investors. This is particularly problematic for alternative investment fund managers as their investments are often illiquid and cannot be sold easily. A </w:t>
      </w:r>
      <w:r w:rsidRPr="004B65ED">
        <w:rPr>
          <w:lang w:val="en-US"/>
        </w:rPr>
        <w:t xml:space="preserve">minimum </w:t>
      </w:r>
      <w:r w:rsidRPr="004B65ED">
        <w:t xml:space="preserve">12-month transitional period would give investment funds more time to make the necessary changes and ensure that the changes are made in a way that is </w:t>
      </w:r>
      <w:r w:rsidRPr="004B65ED">
        <w:rPr>
          <w:lang w:val="en-US"/>
        </w:rPr>
        <w:t>less</w:t>
      </w:r>
      <w:r w:rsidRPr="004B65ED">
        <w:t xml:space="preserve"> detrimental to the financial interests of their investors.</w:t>
      </w:r>
    </w:p>
    <w:permEnd w:id="489244833"/>
    <w:p w14:paraId="739467F4" w14:textId="1B5BCA7B"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40C39DB0" w14:textId="77777777" w:rsidR="004246E5" w:rsidRPr="004246E5" w:rsidRDefault="004246E5" w:rsidP="004246E5">
      <w:permStart w:id="1766353355" w:edGrp="everyone"/>
      <w:r w:rsidRPr="004246E5">
        <w:t>No, the naming-related provisions should not be extended to closed-ended funds which have terminated their subscription period before the application date of the Guidelines. This is because these funds are no longer open for distribution and therefore there is no need for them to adhere to the naming-related provisions as they are not actively being marketed or sold to investors.</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5364FEA4" w14:textId="77777777" w:rsidR="004246E5" w:rsidRPr="004246E5" w:rsidRDefault="004246E5" w:rsidP="004246E5">
      <w:permStart w:id="929254269" w:edGrp="everyone"/>
      <w:r w:rsidRPr="004246E5">
        <w:t>The introduction of the proposed Guidelines will have a</w:t>
      </w:r>
      <w:r w:rsidRPr="004246E5">
        <w:rPr>
          <w:lang w:val="en-US"/>
        </w:rPr>
        <w:t>n</w:t>
      </w:r>
      <w:r w:rsidRPr="004246E5">
        <w:t xml:space="preserve"> impact on investment funds and the market as a whole. </w:t>
      </w:r>
      <w:r w:rsidRPr="004246E5">
        <w:rPr>
          <w:lang w:val="en-US"/>
        </w:rPr>
        <w:t xml:space="preserve">If successful, </w:t>
      </w:r>
      <w:proofErr w:type="spellStart"/>
      <w:r w:rsidRPr="004246E5">
        <w:rPr>
          <w:lang w:val="en-US"/>
        </w:rPr>
        <w:t>i</w:t>
      </w:r>
      <w:proofErr w:type="spellEnd"/>
      <w:r w:rsidRPr="004246E5">
        <w:t xml:space="preserve">t will provide greater clarity and transparency to investors on the sustainability standards of funds, helping them make informed decisions. The use of quantitative thresholds and safeguards in the use of ESG or sustainability-related terms </w:t>
      </w:r>
      <w:r w:rsidRPr="004246E5">
        <w:rPr>
          <w:lang w:val="en-US"/>
        </w:rPr>
        <w:t>could</w:t>
      </w:r>
      <w:r w:rsidRPr="004246E5">
        <w:t xml:space="preserve"> also prevent greenwashing and promote genuine sustainable investments. This could lead to an increase in investment in the sustainable finance sector, driving economic growth and support for a low carbon transition.</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12443A0D" w14:textId="77777777" w:rsidR="004246E5" w:rsidRPr="004246E5" w:rsidRDefault="004246E5" w:rsidP="004246E5">
      <w:permStart w:id="878708964" w:edGrp="everyone"/>
      <w:r w:rsidRPr="004246E5">
        <w:t xml:space="preserve">The compliance with the proposed Guidelines will bring both costs and benefits to the stakeholders we represent. On the cost side, investment funds </w:t>
      </w:r>
      <w:r w:rsidRPr="004246E5">
        <w:rPr>
          <w:lang w:val="en-US"/>
        </w:rPr>
        <w:t>will likely</w:t>
      </w:r>
      <w:r w:rsidRPr="004246E5">
        <w:t xml:space="preserve"> need to make changes to their investment strategies and processes in order to meet the new requirements, including the use of quantitative thresholds and safeguards. This may require additional resources, including staff time, technology and data analytics, which will increase costs</w:t>
      </w:r>
      <w:r w:rsidRPr="004246E5">
        <w:rPr>
          <w:lang w:val="en-US"/>
        </w:rPr>
        <w:t xml:space="preserve"> and in the end potentially negatively impact investors’ returns</w:t>
      </w:r>
      <w:r w:rsidRPr="004246E5">
        <w:t xml:space="preserve">. On the benefits side, the greater transparency and clarity provided by the Guidelines will increase investor confidence in sustainable investment funds, which will likely lead to an increase in demand for these funds. This could result in a growth in assets under management and higher returns for investors, as well as a greater contribution to the transition to a more sustainable economy. The benefits of the Guidelines may also extend beyond the investment funds to the wider economy, as more investment is </w:t>
      </w:r>
      <w:proofErr w:type="spellStart"/>
      <w:r w:rsidRPr="004246E5">
        <w:t>channeled</w:t>
      </w:r>
      <w:proofErr w:type="spellEnd"/>
      <w:r w:rsidRPr="004246E5">
        <w:t xml:space="preserve"> into sustainable finance initiatives. However, it is difficult to provide quantitative figures for these costs and benefits at this stage as the Guidelines are still in draft form and the implementation details are yet to be determined.</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1760" w14:textId="77777777" w:rsidR="000E149E" w:rsidRDefault="000E149E">
      <w:r>
        <w:separator/>
      </w:r>
    </w:p>
    <w:p w14:paraId="046A92D9" w14:textId="77777777" w:rsidR="000E149E" w:rsidRDefault="000E149E"/>
  </w:endnote>
  <w:endnote w:type="continuationSeparator" w:id="0">
    <w:p w14:paraId="442FE3AA" w14:textId="77777777" w:rsidR="000E149E" w:rsidRDefault="000E149E">
      <w:r>
        <w:continuationSeparator/>
      </w:r>
    </w:p>
    <w:p w14:paraId="7C3DCCFE" w14:textId="77777777" w:rsidR="000E149E" w:rsidRDefault="000E149E"/>
  </w:endnote>
  <w:endnote w:type="continuationNotice" w:id="1">
    <w:p w14:paraId="6EDFD0A7" w14:textId="77777777" w:rsidR="000E149E" w:rsidRDefault="000E1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EUAlbertin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00"/>
    <w:family w:val="roman"/>
    <w:pitch w:val="variable"/>
  </w:font>
  <w:font w:name="Myriad Pro Light">
    <w:altName w:val="Corbe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2E02" w14:textId="77777777" w:rsidR="000E149E" w:rsidRDefault="000E149E">
      <w:r>
        <w:separator/>
      </w:r>
    </w:p>
    <w:p w14:paraId="68ECD4B2" w14:textId="77777777" w:rsidR="000E149E" w:rsidRDefault="000E149E"/>
  </w:footnote>
  <w:footnote w:type="continuationSeparator" w:id="0">
    <w:p w14:paraId="40F25934" w14:textId="77777777" w:rsidR="000E149E" w:rsidRDefault="000E149E">
      <w:r>
        <w:continuationSeparator/>
      </w:r>
    </w:p>
    <w:p w14:paraId="2C54ED25" w14:textId="77777777" w:rsidR="000E149E" w:rsidRDefault="000E149E"/>
  </w:footnote>
  <w:footnote w:type="continuationNotice" w:id="1">
    <w:p w14:paraId="7C3B3210" w14:textId="77777777" w:rsidR="000E149E" w:rsidRDefault="000E1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356999988">
    <w:abstractNumId w:val="16"/>
  </w:num>
  <w:num w:numId="2" w16cid:durableId="1964143690">
    <w:abstractNumId w:val="18"/>
  </w:num>
  <w:num w:numId="3" w16cid:durableId="1591234955">
    <w:abstractNumId w:val="11"/>
  </w:num>
  <w:num w:numId="4" w16cid:durableId="1082724680">
    <w:abstractNumId w:val="23"/>
  </w:num>
  <w:num w:numId="5" w16cid:durableId="1286498063">
    <w:abstractNumId w:val="25"/>
  </w:num>
  <w:num w:numId="6" w16cid:durableId="14501254">
    <w:abstractNumId w:val="0"/>
  </w:num>
  <w:num w:numId="7" w16cid:durableId="1288393911">
    <w:abstractNumId w:val="3"/>
  </w:num>
  <w:num w:numId="8" w16cid:durableId="1755397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9229162">
    <w:abstractNumId w:val="31"/>
  </w:num>
  <w:num w:numId="10" w16cid:durableId="21006347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3777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40168">
    <w:abstractNumId w:val="27"/>
  </w:num>
  <w:num w:numId="13" w16cid:durableId="176431528">
    <w:abstractNumId w:val="30"/>
  </w:num>
  <w:num w:numId="14" w16cid:durableId="1510677967">
    <w:abstractNumId w:val="22"/>
  </w:num>
  <w:num w:numId="15" w16cid:durableId="1443188568">
    <w:abstractNumId w:val="10"/>
  </w:num>
  <w:num w:numId="16" w16cid:durableId="736634570">
    <w:abstractNumId w:val="1"/>
  </w:num>
  <w:num w:numId="17" w16cid:durableId="95945769">
    <w:abstractNumId w:val="14"/>
  </w:num>
  <w:num w:numId="18" w16cid:durableId="1128163892">
    <w:abstractNumId w:val="15"/>
  </w:num>
  <w:num w:numId="19" w16cid:durableId="328606675">
    <w:abstractNumId w:val="17"/>
  </w:num>
  <w:num w:numId="20" w16cid:durableId="553124358">
    <w:abstractNumId w:val="26"/>
  </w:num>
  <w:num w:numId="21" w16cid:durableId="2110735149">
    <w:abstractNumId w:val="36"/>
  </w:num>
  <w:num w:numId="22" w16cid:durableId="1066344512">
    <w:abstractNumId w:val="24"/>
  </w:num>
  <w:num w:numId="23" w16cid:durableId="1170871999">
    <w:abstractNumId w:val="9"/>
  </w:num>
  <w:num w:numId="24" w16cid:durableId="1728800943">
    <w:abstractNumId w:val="29"/>
  </w:num>
  <w:num w:numId="25" w16cid:durableId="1848013286">
    <w:abstractNumId w:val="28"/>
  </w:num>
  <w:num w:numId="26" w16cid:durableId="1211261647">
    <w:abstractNumId w:val="19"/>
  </w:num>
  <w:num w:numId="27" w16cid:durableId="2056083451">
    <w:abstractNumId w:val="32"/>
  </w:num>
  <w:num w:numId="28" w16cid:durableId="1094859754">
    <w:abstractNumId w:val="38"/>
  </w:num>
  <w:num w:numId="29" w16cid:durableId="1520582190">
    <w:abstractNumId w:val="7"/>
  </w:num>
  <w:num w:numId="30" w16cid:durableId="692192102">
    <w:abstractNumId w:val="2"/>
  </w:num>
  <w:num w:numId="31" w16cid:durableId="2070958598">
    <w:abstractNumId w:val="21"/>
  </w:num>
  <w:num w:numId="32" w16cid:durableId="221410741">
    <w:abstractNumId w:val="20"/>
  </w:num>
  <w:num w:numId="33" w16cid:durableId="1385059996">
    <w:abstractNumId w:val="34"/>
  </w:num>
  <w:num w:numId="34" w16cid:durableId="1528640336">
    <w:abstractNumId w:val="33"/>
  </w:num>
  <w:num w:numId="35" w16cid:durableId="1428305994">
    <w:abstractNumId w:val="4"/>
  </w:num>
  <w:num w:numId="36" w16cid:durableId="210969366">
    <w:abstractNumId w:val="35"/>
  </w:num>
  <w:num w:numId="37" w16cid:durableId="255214745">
    <w:abstractNumId w:val="20"/>
    <w:lvlOverride w:ilvl="0">
      <w:startOverride w:val="1"/>
    </w:lvlOverride>
  </w:num>
  <w:num w:numId="38" w16cid:durableId="851073077">
    <w:abstractNumId w:val="20"/>
  </w:num>
  <w:num w:numId="39" w16cid:durableId="873076990">
    <w:abstractNumId w:val="12"/>
  </w:num>
  <w:num w:numId="40" w16cid:durableId="113424991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209"/>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49E"/>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46E5"/>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5ED"/>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0854"/>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776"/>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1065"/>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2CF"/>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13C2"/>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C1A"/>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B60"/>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1A"/>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104"/>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1DF"/>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5E6"/>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43A8"/>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2354</Words>
  <Characters>13420</Characters>
  <Application>Microsoft Office Word</Application>
  <DocSecurity>8</DocSecurity>
  <Lines>111</Lines>
  <Paragraphs>31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15743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Mátyás Csiky</cp:lastModifiedBy>
  <cp:revision>3</cp:revision>
  <cp:lastPrinted>2015-02-18T11:01:00Z</cp:lastPrinted>
  <dcterms:created xsi:type="dcterms:W3CDTF">2023-02-20T20:13:00Z</dcterms:created>
  <dcterms:modified xsi:type="dcterms:W3CDTF">2023-02-20T20:41:00Z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