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b/>
              <w:bCs/>
            </w:rPr>
            <w:id w:val="651570699"/>
            <w:text/>
          </w:sdtPr>
          <w:sdtContent>
            <w:tc>
              <w:tcPr>
                <w:tcW w:w="5595" w:type="dxa"/>
                <w:shd w:val="clear" w:color="auto" w:fill="auto"/>
              </w:tcPr>
              <w:p w14:paraId="7A68491E" w14:textId="167A909E" w:rsidR="00C2682A" w:rsidRPr="00AB6D88" w:rsidRDefault="003C1ADF" w:rsidP="00FA5524">
                <w:pPr>
                  <w:rPr>
                    <w:rStyle w:val="PlaceholderText"/>
                    <w:rFonts w:cs="Arial"/>
                  </w:rPr>
                </w:pPr>
                <w:r w:rsidRPr="003C1ADF">
                  <w:rPr>
                    <w:rStyle w:val="PlaceholderText"/>
                    <w:rFonts w:cs="Arial"/>
                    <w:b/>
                    <w:bCs/>
                  </w:rPr>
                  <w:t>The European Federation of Investors and Financial Services Users (BETTER FINANCE)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F2E1D47"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3C1ADF">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1107092B" w:rsidR="00C2682A" w:rsidRPr="00AB6D88" w:rsidRDefault="003C1ADF"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69122E1" w14:textId="60F66BF1" w:rsidR="003C1ADF" w:rsidRPr="003C1ADF" w:rsidRDefault="003C1ADF" w:rsidP="003C1ADF">
      <w:pPr>
        <w:spacing w:after="160" w:line="259" w:lineRule="auto"/>
        <w:rPr>
          <w:rFonts w:cs="Arial"/>
          <w:szCs w:val="20"/>
        </w:rPr>
      </w:pPr>
      <w:bookmarkStart w:id="3" w:name="_Hlk127811920"/>
      <w:permStart w:id="1100430741" w:edGrp="everyone"/>
      <w:r w:rsidRPr="003C1ADF">
        <w:rPr>
          <w:rFonts w:eastAsia="Calibri" w:cs="Arial"/>
          <w:szCs w:val="20"/>
          <w:lang w:eastAsia="en-US"/>
        </w:rPr>
        <w:t xml:space="preserve">ESMA’s Guidelines on funds’ names using ESG or sustainability related terms in their names propose the use of quantitative thresholds whereby “if </w:t>
      </w:r>
      <w:r w:rsidRPr="003C1ADF">
        <w:rPr>
          <w:rFonts w:cs="Arial"/>
          <w:szCs w:val="20"/>
        </w:rPr>
        <w:t>an investment fund has any ESG-, or impact-related words in its name, a minimum proportion of 80% of its investments should be used to meet the environmental or social characteristics or sustainable investment objectives…” and “if an investment fund has the word “sustainable” or any other term derived from the word “sustainable” it should allocate within the 80% of investments at least 50% of minimum proportion of sustainable investments</w:t>
      </w:r>
      <w:bookmarkEnd w:id="3"/>
      <w:r w:rsidRPr="003C1ADF">
        <w:rPr>
          <w:rFonts w:cs="Arial"/>
          <w:szCs w:val="20"/>
        </w:rPr>
        <w:t xml:space="preserve">”. </w:t>
      </w:r>
      <w:r>
        <w:rPr>
          <w:rFonts w:cs="Arial"/>
          <w:szCs w:val="20"/>
        </w:rPr>
        <w:t xml:space="preserve">                                                                 </w:t>
      </w:r>
      <w:r w:rsidRPr="003C1ADF">
        <w:rPr>
          <w:rFonts w:cs="Arial"/>
          <w:szCs w:val="20"/>
        </w:rPr>
        <w:t>BETTER FINANCE would like to point out that there is an urgent need for:</w:t>
      </w:r>
    </w:p>
    <w:p w14:paraId="38F4195C" w14:textId="68A3B68C" w:rsidR="003C1ADF" w:rsidRPr="003C1ADF" w:rsidRDefault="003C1ADF" w:rsidP="003C1ADF">
      <w:pPr>
        <w:spacing w:after="160" w:line="259" w:lineRule="auto"/>
        <w:rPr>
          <w:rFonts w:cs="Arial"/>
          <w:b/>
          <w:bCs/>
          <w:szCs w:val="20"/>
        </w:rPr>
      </w:pPr>
      <w:r w:rsidRPr="003C1ADF">
        <w:rPr>
          <w:rFonts w:cs="Arial"/>
          <w:szCs w:val="20"/>
        </w:rPr>
        <w:t xml:space="preserve">- </w:t>
      </w:r>
      <w:r w:rsidRPr="003C1ADF">
        <w:rPr>
          <w:rFonts w:cs="Arial"/>
          <w:b/>
          <w:bCs/>
          <w:szCs w:val="20"/>
        </w:rPr>
        <w:t xml:space="preserve">further clarity on definitions to enhance retail investor understanding and differentiation of ESG/sustainability and other </w:t>
      </w:r>
      <w:proofErr w:type="gramStart"/>
      <w:r w:rsidRPr="003C1ADF">
        <w:rPr>
          <w:rFonts w:cs="Arial"/>
          <w:b/>
          <w:bCs/>
          <w:szCs w:val="20"/>
        </w:rPr>
        <w:t>terms</w:t>
      </w:r>
      <w:r>
        <w:rPr>
          <w:rFonts w:cs="Arial"/>
          <w:b/>
          <w:bCs/>
          <w:szCs w:val="20"/>
        </w:rPr>
        <w:t>;</w:t>
      </w:r>
      <w:proofErr w:type="gramEnd"/>
    </w:p>
    <w:p w14:paraId="077DAF93" w14:textId="6B9EFAF0" w:rsidR="003C1ADF" w:rsidRPr="003C1ADF" w:rsidRDefault="003C1ADF" w:rsidP="003C1ADF">
      <w:pPr>
        <w:spacing w:after="160" w:line="259" w:lineRule="auto"/>
        <w:rPr>
          <w:rFonts w:cs="Arial"/>
          <w:b/>
          <w:bCs/>
          <w:szCs w:val="20"/>
        </w:rPr>
      </w:pPr>
      <w:r w:rsidRPr="003C1ADF">
        <w:rPr>
          <w:rFonts w:cs="Arial"/>
          <w:szCs w:val="20"/>
        </w:rPr>
        <w:t xml:space="preserve">- </w:t>
      </w:r>
      <w:r w:rsidRPr="003C1ADF">
        <w:rPr>
          <w:rFonts w:cs="Arial"/>
          <w:b/>
          <w:bCs/>
          <w:szCs w:val="20"/>
        </w:rPr>
        <w:t xml:space="preserve">harmonisation of terms and </w:t>
      </w:r>
      <w:r w:rsidRPr="003C1ADF">
        <w:rPr>
          <w:rFonts w:cs="Arial"/>
          <w:b/>
          <w:bCs/>
          <w:szCs w:val="20"/>
        </w:rPr>
        <w:t>definitions</w:t>
      </w:r>
      <w:r w:rsidRPr="003C1ADF">
        <w:rPr>
          <w:rFonts w:cs="Arial"/>
          <w:b/>
          <w:bCs/>
          <w:szCs w:val="20"/>
        </w:rPr>
        <w:t xml:space="preserve"> across </w:t>
      </w:r>
      <w:proofErr w:type="gramStart"/>
      <w:r w:rsidRPr="003C1ADF">
        <w:rPr>
          <w:rFonts w:cs="Arial"/>
          <w:b/>
          <w:bCs/>
          <w:szCs w:val="20"/>
        </w:rPr>
        <w:t>legislation</w:t>
      </w:r>
      <w:r>
        <w:rPr>
          <w:rFonts w:cs="Arial"/>
          <w:b/>
          <w:bCs/>
          <w:szCs w:val="20"/>
        </w:rPr>
        <w:t>;</w:t>
      </w:r>
      <w:proofErr w:type="gramEnd"/>
    </w:p>
    <w:p w14:paraId="59A8B529" w14:textId="4D0DC079" w:rsidR="003C1ADF" w:rsidRPr="003C1ADF" w:rsidRDefault="003C1ADF" w:rsidP="003C1ADF">
      <w:pPr>
        <w:spacing w:after="160" w:line="259" w:lineRule="auto"/>
        <w:rPr>
          <w:rFonts w:cs="Arial"/>
          <w:b/>
          <w:bCs/>
          <w:szCs w:val="20"/>
        </w:rPr>
      </w:pPr>
      <w:r w:rsidRPr="003C1ADF">
        <w:rPr>
          <w:rFonts w:cs="Arial"/>
          <w:szCs w:val="20"/>
        </w:rPr>
        <w:t xml:space="preserve">- </w:t>
      </w:r>
      <w:r w:rsidRPr="003C1ADF">
        <w:rPr>
          <w:rFonts w:cs="Arial"/>
          <w:b/>
          <w:bCs/>
          <w:szCs w:val="20"/>
        </w:rPr>
        <w:t>expanding minimum safeguards beyond exclusion and integr</w:t>
      </w:r>
      <w:r w:rsidRPr="003C1ADF">
        <w:rPr>
          <w:rFonts w:cs="Arial"/>
          <w:b/>
          <w:bCs/>
          <w:szCs w:val="20"/>
        </w:rPr>
        <w:t xml:space="preserve">ation of </w:t>
      </w:r>
      <w:r w:rsidRPr="003C1ADF">
        <w:rPr>
          <w:rFonts w:cs="Arial"/>
          <w:b/>
          <w:bCs/>
          <w:szCs w:val="20"/>
        </w:rPr>
        <w:t xml:space="preserve">engagement </w:t>
      </w:r>
      <w:proofErr w:type="gramStart"/>
      <w:r w:rsidRPr="003C1ADF">
        <w:rPr>
          <w:rFonts w:cs="Arial"/>
          <w:b/>
          <w:bCs/>
          <w:szCs w:val="20"/>
        </w:rPr>
        <w:t>approach</w:t>
      </w:r>
      <w:r>
        <w:rPr>
          <w:rFonts w:cs="Arial"/>
          <w:b/>
          <w:bCs/>
          <w:szCs w:val="20"/>
        </w:rPr>
        <w:t>;</w:t>
      </w:r>
      <w:proofErr w:type="gramEnd"/>
      <w:r w:rsidRPr="003C1ADF">
        <w:rPr>
          <w:rFonts w:cs="Arial"/>
          <w:b/>
          <w:bCs/>
          <w:szCs w:val="20"/>
        </w:rPr>
        <w:t xml:space="preserve"> </w:t>
      </w:r>
    </w:p>
    <w:p w14:paraId="383AD577" w14:textId="239DC264" w:rsidR="003C1ADF" w:rsidRPr="003C1ADF" w:rsidRDefault="003C1ADF" w:rsidP="003C1ADF">
      <w:pPr>
        <w:spacing w:after="160" w:line="259" w:lineRule="auto"/>
        <w:rPr>
          <w:rFonts w:cs="Arial"/>
          <w:b/>
          <w:bCs/>
          <w:szCs w:val="20"/>
        </w:rPr>
      </w:pPr>
      <w:r w:rsidRPr="003C1ADF">
        <w:rPr>
          <w:rFonts w:cs="Arial"/>
          <w:szCs w:val="20"/>
        </w:rPr>
        <w:t xml:space="preserve">- </w:t>
      </w:r>
      <w:r w:rsidRPr="003C1ADF">
        <w:rPr>
          <w:rFonts w:cs="Arial"/>
          <w:b/>
          <w:bCs/>
          <w:szCs w:val="20"/>
        </w:rPr>
        <w:t xml:space="preserve">adopt specific provisions for transition and encourage the use of strong engagement and active share ownership to accelerate energy transition plans for </w:t>
      </w:r>
      <w:proofErr w:type="gramStart"/>
      <w:r w:rsidRPr="003C1ADF">
        <w:rPr>
          <w:rFonts w:cs="Arial"/>
          <w:b/>
          <w:bCs/>
          <w:szCs w:val="20"/>
        </w:rPr>
        <w:t>example</w:t>
      </w:r>
      <w:r>
        <w:rPr>
          <w:rFonts w:cs="Arial"/>
          <w:b/>
          <w:bCs/>
          <w:szCs w:val="20"/>
        </w:rPr>
        <w:t>;</w:t>
      </w:r>
      <w:proofErr w:type="gramEnd"/>
    </w:p>
    <w:p w14:paraId="441BFB77" w14:textId="6E620A85" w:rsidR="003C1ADF" w:rsidRPr="003C1ADF" w:rsidRDefault="003C1ADF" w:rsidP="003C1ADF">
      <w:pPr>
        <w:spacing w:after="160" w:line="259" w:lineRule="auto"/>
        <w:rPr>
          <w:rFonts w:cs="Arial"/>
          <w:b/>
          <w:bCs/>
          <w:szCs w:val="20"/>
        </w:rPr>
      </w:pPr>
      <w:r w:rsidRPr="003C1ADF">
        <w:rPr>
          <w:rFonts w:cs="Arial"/>
          <w:szCs w:val="20"/>
        </w:rPr>
        <w:t xml:space="preserve">- </w:t>
      </w:r>
      <w:r w:rsidRPr="003C1ADF">
        <w:rPr>
          <w:rFonts w:cs="Arial"/>
          <w:b/>
          <w:bCs/>
          <w:szCs w:val="20"/>
        </w:rPr>
        <w:t>adopt specific provisions for impact with sufficient proof of the impact presented in a clear and measurable way</w:t>
      </w:r>
      <w:r>
        <w:rPr>
          <w:rFonts w:cs="Arial"/>
          <w:b/>
          <w:bCs/>
          <w:szCs w:val="20"/>
        </w:rPr>
        <w:t>; and</w:t>
      </w:r>
    </w:p>
    <w:p w14:paraId="08C6541E" w14:textId="423A7D0A" w:rsidR="00B92885" w:rsidRPr="003C1ADF" w:rsidRDefault="003C1ADF" w:rsidP="003C1ADF">
      <w:pPr>
        <w:spacing w:after="160" w:line="259" w:lineRule="auto"/>
        <w:rPr>
          <w:rFonts w:eastAsia="Calibri" w:cs="Arial"/>
          <w:szCs w:val="20"/>
          <w:lang w:eastAsia="en-US"/>
        </w:rPr>
      </w:pPr>
      <w:r w:rsidRPr="003C1ADF">
        <w:rPr>
          <w:rFonts w:cs="Arial"/>
          <w:szCs w:val="20"/>
        </w:rPr>
        <w:t xml:space="preserve">- </w:t>
      </w:r>
      <w:r w:rsidRPr="003C1ADF">
        <w:rPr>
          <w:rFonts w:cs="Arial"/>
          <w:b/>
          <w:bCs/>
          <w:szCs w:val="20"/>
        </w:rPr>
        <w:t>clarifications over the proposed "temporary deviation" regarding approximate period</w:t>
      </w:r>
      <w:r>
        <w:rPr>
          <w:rFonts w:cs="Arial"/>
          <w:b/>
          <w:bCs/>
          <w:szCs w:val="20"/>
        </w:rPr>
        <w:t>.</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51E8F943" w:rsidR="00B92885" w:rsidRPr="003C1ADF" w:rsidRDefault="003C1ADF" w:rsidP="003C1ADF">
      <w:pPr>
        <w:spacing w:after="160" w:line="259" w:lineRule="auto"/>
        <w:rPr>
          <w:rFonts w:ascii="Calibri" w:eastAsia="Calibri" w:hAnsi="Calibri"/>
          <w:sz w:val="22"/>
          <w:szCs w:val="22"/>
          <w:lang w:eastAsia="en-US"/>
        </w:rPr>
      </w:pPr>
      <w:permStart w:id="1596738700" w:edGrp="everyone"/>
      <w:r>
        <w:t xml:space="preserve"> </w:t>
      </w:r>
      <w:r>
        <w:rPr>
          <w:rFonts w:ascii="Calibri" w:eastAsia="Calibri" w:hAnsi="Calibri"/>
          <w:sz w:val="22"/>
          <w:szCs w:val="22"/>
          <w:lang w:eastAsia="en-US"/>
        </w:rPr>
        <w:t xml:space="preserve">ESMA’s Guidelines on funds’ names using ESG or sustainability related terms in their names propose the use of quantitative thresholds whereby “if </w:t>
      </w:r>
      <w:r>
        <w:t>an investment fund has any ESG-, or impact-related words in its name, a minimum proportion of 80% of its investments should be used to meet the environmental or social characteristics or sustainable investment objectives…” and “if an investment fund has the word “sustainable” or any other term derived from the word “sustainable” it should allocate within the 80% of investments at least 50% of minimum proportion of sustainable investments</w:t>
      </w:r>
      <w:r>
        <w:t xml:space="preserve">” as defined in the Sustainable Finance Disclosure Regulation (SFDR). </w:t>
      </w:r>
      <w:r w:rsidRPr="003C1ADF">
        <w:t xml:space="preserve">BETTER FINANCE is of the view that a </w:t>
      </w:r>
      <w:r w:rsidRPr="003C1ADF">
        <w:rPr>
          <w:b/>
          <w:bCs/>
        </w:rPr>
        <w:t xml:space="preserve">fund’s name is often the first and even too many times the only piece of information retail investors </w:t>
      </w:r>
      <w:proofErr w:type="gramStart"/>
      <w:r w:rsidRPr="003C1ADF">
        <w:rPr>
          <w:b/>
          <w:bCs/>
        </w:rPr>
        <w:t>see</w:t>
      </w:r>
      <w:proofErr w:type="gramEnd"/>
      <w:r w:rsidRPr="003C1ADF">
        <w:t xml:space="preserve"> and that can have a </w:t>
      </w:r>
      <w:r w:rsidRPr="003C1ADF">
        <w:rPr>
          <w:b/>
          <w:bCs/>
        </w:rPr>
        <w:t>significant impact on their investment decisions</w:t>
      </w:r>
      <w:r w:rsidRPr="003C1ADF">
        <w:t xml:space="preserve">, hence we agree with ESMA that </w:t>
      </w:r>
      <w:r w:rsidRPr="003C1ADF">
        <w:rPr>
          <w:b/>
          <w:bCs/>
        </w:rPr>
        <w:t>names can be misleading</w:t>
      </w:r>
      <w:r w:rsidRPr="003C1ADF">
        <w:t xml:space="preserve"> if those funds do not invest in what their names would suggest. However, the current conditions as set out by the </w:t>
      </w:r>
      <w:r w:rsidRPr="003C1ADF">
        <w:rPr>
          <w:b/>
          <w:bCs/>
        </w:rPr>
        <w:t>quantitative thresholds may be somewhat confusing</w:t>
      </w:r>
      <w:r w:rsidRPr="003C1ADF">
        <w:t xml:space="preserve"> for retail investors as the distinction between ESG-related words and sustainability related terms is not yet easy to differentiate. A </w:t>
      </w:r>
      <w:r w:rsidRPr="003C1ADF">
        <w:rPr>
          <w:b/>
          <w:bCs/>
        </w:rPr>
        <w:t>quantitative approach could indeed be helpful for supervisors</w:t>
      </w:r>
      <w:r w:rsidRPr="003C1ADF">
        <w:t xml:space="preserve">, but this needs to be accompanied with a </w:t>
      </w:r>
      <w:r w:rsidRPr="003C1ADF">
        <w:rPr>
          <w:b/>
          <w:bCs/>
        </w:rPr>
        <w:t>clear and easy to understand distinction</w:t>
      </w:r>
      <w:r w:rsidRPr="003C1ADF">
        <w:t xml:space="preserve"> between the proposed two </w:t>
      </w:r>
      <w:r>
        <w:t>thresholds and their definitions (which needs to be addressed through a legislative review of the Sustainable Finance Disclosure Regulation overall)</w:t>
      </w:r>
      <w:r w:rsidRPr="003C1ADF">
        <w:t xml:space="preserve">. Studies already show that </w:t>
      </w:r>
      <w:r w:rsidRPr="003C1ADF">
        <w:rPr>
          <w:b/>
          <w:bCs/>
        </w:rPr>
        <w:t>investors are increasingly more cautious</w:t>
      </w:r>
      <w:r w:rsidRPr="003C1ADF">
        <w:t xml:space="preserve"> on investment advice for sustainable products and lose some trust</w:t>
      </w:r>
      <w:r>
        <w:t xml:space="preserve"> </w:t>
      </w:r>
      <w:r w:rsidRPr="003C1ADF">
        <w:t xml:space="preserve">(1) </w:t>
      </w:r>
      <w:hyperlink r:id="rId18" w:history="1">
        <w:r w:rsidRPr="003C1ADF">
          <w:rPr>
            <w:rStyle w:val="Hyperlink"/>
            <w:color w:val="auto"/>
          </w:rPr>
          <w:t>https://www.dsw-info.de/presse/pressemitteilungen-2022/anlageberatung-zu-nachhaltigen-produkteninvestoren-zurueckhaltend-wenig-klarheit-in-den-vorgaben/</w:t>
        </w:r>
      </w:hyperlink>
      <w:r w:rsidRPr="003C1ADF">
        <w:t xml:space="preserve">. Also a prerequisite to any quantitative approach is to </w:t>
      </w:r>
      <w:r w:rsidRPr="003C1ADF">
        <w:rPr>
          <w:b/>
          <w:bCs/>
        </w:rPr>
        <w:t>take into account not only the least effective sustainable fund investment strategy</w:t>
      </w:r>
      <w:r w:rsidRPr="003C1ADF">
        <w:t xml:space="preserve"> (exclusion or negative screening) </w:t>
      </w:r>
      <w:r w:rsidRPr="003C1ADF">
        <w:rPr>
          <w:b/>
          <w:bCs/>
        </w:rPr>
        <w:t>but also the most effective ones: engagement and transition investing</w:t>
      </w:r>
      <w:r w:rsidRPr="003C1ADF">
        <w:t xml:space="preserve">, as documented for example in ESMA SMSG’s response to the ESAs consultation on greenwashing (2) </w:t>
      </w:r>
      <w:hyperlink r:id="rId19" w:history="1">
        <w:r w:rsidRPr="003C1ADF">
          <w:rPr>
            <w:rStyle w:val="Hyperlink"/>
            <w:color w:val="auto"/>
          </w:rPr>
          <w:t>https://www.esma.europa.eu/sites/default/files/2023-01/esma22-106-4384_smsg_advice_on_greenwashing.pdf</w:t>
        </w:r>
      </w:hyperlink>
      <w:r w:rsidRPr="003C1ADF">
        <w:t xml:space="preserve"> para. </w:t>
      </w:r>
      <w:r w:rsidRPr="003C1ADF">
        <w:rPr>
          <w:lang w:val="fr-BE"/>
        </w:rPr>
        <w:t xml:space="preserve">26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7BED3590" w14:textId="04389902" w:rsidR="00B92885" w:rsidRDefault="003C1ADF" w:rsidP="00B92885">
      <w:permStart w:id="1305634831" w:edGrp="everyone"/>
      <w:r>
        <w:t xml:space="preserve">While in theory a </w:t>
      </w:r>
      <w:r w:rsidRPr="00AB01EA">
        <w:rPr>
          <w:b/>
          <w:bCs/>
        </w:rPr>
        <w:t>quantitative threshold of 80% is acceptable metric</w:t>
      </w:r>
      <w:r>
        <w:rPr>
          <w:b/>
          <w:bCs/>
        </w:rPr>
        <w:t xml:space="preserve"> </w:t>
      </w:r>
      <w:r w:rsidRPr="003C1ADF">
        <w:rPr>
          <w:b/>
          <w:bCs/>
        </w:rPr>
        <w:t>for the exclusion investment approach only</w:t>
      </w:r>
      <w:r>
        <w:t xml:space="preserve">, it assumes that retail investors have a </w:t>
      </w:r>
      <w:r w:rsidRPr="00AB01EA">
        <w:rPr>
          <w:b/>
          <w:bCs/>
        </w:rPr>
        <w:t>common understanding of the ESG/impact related words</w:t>
      </w:r>
      <w:r>
        <w:t xml:space="preserve"> in the name of a fund. Given that </w:t>
      </w:r>
      <w:r w:rsidRPr="00AB01EA">
        <w:rPr>
          <w:b/>
          <w:bCs/>
          <w:lang w:val="en-US"/>
        </w:rPr>
        <w:t>“ESG” refers to sustainability-related topics overall</w:t>
      </w:r>
      <w:r>
        <w:rPr>
          <w:lang w:val="en-US"/>
        </w:rPr>
        <w:t xml:space="preserve">, retail investors may struggle to </w:t>
      </w:r>
      <w:r w:rsidRPr="00AB01EA">
        <w:rPr>
          <w:b/>
          <w:bCs/>
          <w:lang w:val="en-US"/>
        </w:rPr>
        <w:t>differentiate ESG and separate sustainability terms</w:t>
      </w:r>
      <w:r>
        <w:rPr>
          <w:lang w:val="en-US"/>
        </w:rPr>
        <w:t xml:space="preserve"> </w:t>
      </w:r>
      <w:r>
        <w:rPr>
          <w:lang w:val="en-US"/>
        </w:rPr>
        <w:t xml:space="preserve">for the secondary threshold of </w:t>
      </w:r>
      <w:r>
        <w:rPr>
          <w:lang w:val="en-US"/>
        </w:rPr>
        <w:t xml:space="preserve">50%. </w:t>
      </w:r>
      <w:r>
        <w:t xml:space="preserve">Despite the purpose of the SFDR, to improve transparency in the market for sustainable investment products and to prevent greenwashing practices, we are witnessing the regulation's use as a labelling exercise </w:t>
      </w:r>
      <w:proofErr w:type="gramStart"/>
      <w:r>
        <w:t>due to the fact that</w:t>
      </w:r>
      <w:proofErr w:type="gramEnd"/>
      <w:r>
        <w:t xml:space="preserve"> funds and asset managers have plenty of leeway to interpret ESG credentials in various ways and switch back and forth between Article 6, 8 and 9 of the SFDR. If a product is labelled as Article 8 or 9, retail investors reasonably expect the product to have a certain level of ESG credentials, and the </w:t>
      </w:r>
      <w:r w:rsidRPr="00AB01EA">
        <w:rPr>
          <w:b/>
          <w:bCs/>
        </w:rPr>
        <w:t>lack of clarity from the regulatory environment creates an additional barrier for retail investors</w:t>
      </w:r>
      <w:r>
        <w:t xml:space="preserve"> and must be addressed through a legislative review. On the one hand, the market does not have a uniform interpretation of definitions (ESG/sustainability etc.), which </w:t>
      </w:r>
      <w:r w:rsidRPr="00AB01EA">
        <w:rPr>
          <w:b/>
          <w:bCs/>
        </w:rPr>
        <w:t>risks being to the detriment of retail investor understanding of the financial products they are investing in</w:t>
      </w:r>
      <w:r>
        <w:t xml:space="preserve">. On the other there is </w:t>
      </w:r>
      <w:r w:rsidRPr="00AB01EA">
        <w:rPr>
          <w:b/>
          <w:bCs/>
        </w:rPr>
        <w:t>little support for retail investors to enable them to properly distinguish</w:t>
      </w:r>
      <w:r>
        <w:t xml:space="preserve"> between the difference of ESG derived terms and those of sustainability. Further </w:t>
      </w:r>
      <w:r w:rsidRPr="00AB01EA">
        <w:rPr>
          <w:b/>
          <w:bCs/>
        </w:rPr>
        <w:t>clarity on definitions and methodologies</w:t>
      </w:r>
      <w:r>
        <w:t xml:space="preserve"> are necessary to enhance the use of the proposed thresholds</w:t>
      </w:r>
      <w:r>
        <w: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w:t>
      </w:r>
      <w:r w:rsidRPr="00AA6F4F">
        <w:lastRenderedPageBreak/>
        <w:t>related term in the name of the fund? If not, please explain why and provide an alternative proposal.</w:t>
      </w:r>
    </w:p>
    <w:p w14:paraId="1A2958BD" w14:textId="77777777" w:rsidR="00B92885" w:rsidRDefault="00B92885" w:rsidP="00B92885">
      <w:r>
        <w:t>&lt;ESMA_QUESTION_FUNA_3&gt;</w:t>
      </w:r>
    </w:p>
    <w:p w14:paraId="3F3E1763" w14:textId="55420BC9" w:rsidR="00B92885" w:rsidRDefault="003C1ADF" w:rsidP="00B92885">
      <w:permStart w:id="347949177" w:edGrp="everyone"/>
      <w:r>
        <w:t xml:space="preserve">Same as above – the proposed </w:t>
      </w:r>
      <w:r w:rsidRPr="00AB01EA">
        <w:rPr>
          <w:b/>
          <w:bCs/>
        </w:rPr>
        <w:t xml:space="preserve">quantifiable metric </w:t>
      </w:r>
      <w:r>
        <w:rPr>
          <w:b/>
          <w:bCs/>
        </w:rPr>
        <w:t>c</w:t>
      </w:r>
      <w:r w:rsidRPr="00AB01EA">
        <w:rPr>
          <w:b/>
          <w:bCs/>
        </w:rPr>
        <w:t>ould indeed be applicable</w:t>
      </w:r>
      <w:r>
        <w:t xml:space="preserve"> in cases where sustainability related terms are </w:t>
      </w:r>
      <w:r w:rsidRPr="00AB01EA">
        <w:rPr>
          <w:b/>
          <w:bCs/>
        </w:rPr>
        <w:t>commonly understood and harmonised across legislation</w:t>
      </w:r>
      <w:r>
        <w:t>.</w:t>
      </w:r>
      <w:r>
        <w:t xml:space="preserve"> </w:t>
      </w:r>
      <w:r w:rsidRPr="003C1ADF">
        <w:t xml:space="preserve">And again, it seems for now </w:t>
      </w:r>
      <w:r w:rsidRPr="003C1ADF">
        <w:rPr>
          <w:b/>
          <w:bCs/>
        </w:rPr>
        <w:t>adapted only to exclusion investment approaches, not to transition and engagement</w:t>
      </w:r>
      <w:r w:rsidRPr="003C1ADF">
        <w:t xml:space="preserve"> ones.  </w:t>
      </w:r>
      <w:r>
        <w:t xml:space="preserve">A retail investor may </w:t>
      </w:r>
      <w:r w:rsidRPr="00AB01EA">
        <w:rPr>
          <w:b/>
          <w:bCs/>
        </w:rPr>
        <w:t>not be able to understand what the exact difference is</w:t>
      </w:r>
      <w:r>
        <w:t xml:space="preserve"> between ESG/impact related terms and those of sustainability related terms, since ESG includes sustainability linked words in any case. BETTER FINANCE would like to point out that ESMA’s recommendation to only consider minimum safeguards consisting of the </w:t>
      </w:r>
      <w:r w:rsidRPr="00AB01EA">
        <w:rPr>
          <w:b/>
          <w:bCs/>
        </w:rPr>
        <w:t>exclusion criteria, may be ineffective</w:t>
      </w:r>
      <w:r>
        <w:t>, given o</w:t>
      </w:r>
      <w:r>
        <w:rPr>
          <w:lang w:val="en-US"/>
        </w:rPr>
        <w:t xml:space="preserve">ther approaches such as the </w:t>
      </w:r>
      <w:r w:rsidRPr="00AB01EA">
        <w:rPr>
          <w:b/>
          <w:bCs/>
          <w:lang w:val="en-US"/>
        </w:rPr>
        <w:t>engagement</w:t>
      </w:r>
      <w:r>
        <w:rPr>
          <w:lang w:val="en-US"/>
        </w:rPr>
        <w:t xml:space="preserve">, and the use of transition financing which is an </w:t>
      </w:r>
      <w:r w:rsidRPr="00AB01EA">
        <w:rPr>
          <w:b/>
          <w:bCs/>
          <w:lang w:val="en-US"/>
        </w:rPr>
        <w:t>important objective of the sustainable finance agenda</w:t>
      </w:r>
      <w:r>
        <w:rPr>
          <w:lang w:val="en-US"/>
        </w:rPr>
        <w:t xml:space="preserve"> and where efforts are needed for a net change of carbon emissions for example</w:t>
      </w:r>
      <w:r>
        <w:rPr>
          <w:lang w:val="en-US"/>
        </w:rPr>
        <w: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8B77C58" w:rsidR="00B92885" w:rsidRDefault="003C1ADF" w:rsidP="00B92885">
      <w:permStart w:id="351877901" w:edGrp="everyone"/>
      <w:r>
        <w:t xml:space="preserve">ESMA should consider </w:t>
      </w:r>
      <w:r w:rsidRPr="00AB01EA">
        <w:rPr>
          <w:b/>
          <w:bCs/>
        </w:rPr>
        <w:t>extending the minimum safeguards beyond exclusion and integrate engagement</w:t>
      </w:r>
      <w:r>
        <w:t xml:space="preserve"> as well as </w:t>
      </w:r>
      <w:r w:rsidRPr="00AB01EA">
        <w:rPr>
          <w:b/>
          <w:bCs/>
        </w:rPr>
        <w:t xml:space="preserve">distinguish between transition </w:t>
      </w:r>
      <w:r w:rsidRPr="003C1ADF">
        <w:rPr>
          <w:b/>
          <w:bCs/>
        </w:rPr>
        <w:t xml:space="preserve">investments and pure taxonomy-compliant ones </w:t>
      </w:r>
      <w:r w:rsidRPr="00AB01EA">
        <w:rPr>
          <w:b/>
          <w:bCs/>
        </w:rPr>
        <w:t>in the funds’ names</w:t>
      </w:r>
      <w:r>
        <w:t xml:space="preserve">. Ultimately, retail investors would need </w:t>
      </w:r>
      <w:r w:rsidRPr="00AB01EA">
        <w:rPr>
          <w:b/>
          <w:bCs/>
        </w:rPr>
        <w:t>clear and concise guidelines</w:t>
      </w:r>
      <w:r>
        <w:t xml:space="preserve"> to enhance their understanding of the proposed rules and how to utilise them </w:t>
      </w:r>
      <w:proofErr w:type="gramStart"/>
      <w:r>
        <w:t>in order to</w:t>
      </w:r>
      <w:proofErr w:type="gramEnd"/>
      <w:r>
        <w:t xml:space="preserve"> make a better-informed decision regarding their investments. If a fund has an ESG/sustainability/transition related term in its name and does not allocate certain amount within these topics/ does not disclose in pre-contractual </w:t>
      </w:r>
      <w:r>
        <w:t>templates,</w:t>
      </w:r>
      <w:r>
        <w:t xml:space="preserve"> then this would </w:t>
      </w:r>
      <w:r w:rsidRPr="00AB01EA">
        <w:rPr>
          <w:b/>
          <w:bCs/>
        </w:rPr>
        <w:t xml:space="preserve">indeed lead to </w:t>
      </w:r>
      <w:r w:rsidRPr="003C1ADF">
        <w:rPr>
          <w:b/>
          <w:bCs/>
        </w:rPr>
        <w:t>greenwashing (therefore publicly disclosed transition plans are of crucial importance)</w:t>
      </w:r>
      <w:r>
        <w:rPr>
          <w:b/>
          <w:bCs/>
        </w:rPr>
        <w:t>.</w:t>
      </w:r>
      <w:r>
        <w:t xml:space="preserve"> However, if such rules become too complex for an average retail investor to understand it may have a </w:t>
      </w:r>
      <w:r w:rsidRPr="00AB01EA">
        <w:rPr>
          <w:b/>
          <w:bCs/>
        </w:rPr>
        <w:t>detrimental impact instead</w:t>
      </w:r>
      <w:r>
        <w:t xml:space="preserve">. Additionally, it should be noted that funds’ names can ultimately be changed/adapted in a way that could avoid falling in the scope of the guidelines, which would defeat the purpose of the thresholds. BETTER FINANCE </w:t>
      </w:r>
      <w:r w:rsidRPr="00AB01EA">
        <w:rPr>
          <w:b/>
          <w:bCs/>
        </w:rPr>
        <w:t xml:space="preserve">agrees that thresholds are necessary to avoid </w:t>
      </w:r>
      <w:proofErr w:type="gramStart"/>
      <w:r w:rsidRPr="00AB01EA">
        <w:rPr>
          <w:b/>
          <w:bCs/>
        </w:rPr>
        <w:t>greenwashing</w:t>
      </w:r>
      <w:r>
        <w:t>, but</w:t>
      </w:r>
      <w:proofErr w:type="gramEnd"/>
      <w:r>
        <w:t xml:space="preserve"> would like to point out that further clarity is needed to support retail investor understanding and differentiation between the 80</w:t>
      </w:r>
      <w:r>
        <w:t xml:space="preserve"> and </w:t>
      </w:r>
      <w:r>
        <w:t>50% allocation</w:t>
      </w:r>
      <w:r>
        <w:t xml:space="preserve"> thresholds.</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62C0D9D5" w14:textId="173CB4BB" w:rsidR="003C1ADF" w:rsidRDefault="003C1ADF" w:rsidP="003C1ADF">
      <w:bookmarkStart w:id="5" w:name="_Hlk127813198"/>
      <w:permStart w:id="1539323392" w:edGrp="everyone"/>
      <w:r>
        <w:t xml:space="preserve">Yes, as mentioned in previous answers BETTER FINANCE is of the view that </w:t>
      </w:r>
      <w:r w:rsidRPr="00AB01EA">
        <w:rPr>
          <w:b/>
          <w:bCs/>
        </w:rPr>
        <w:t>minimum safeguards criteria should be extended</w:t>
      </w:r>
      <w:r>
        <w:t xml:space="preserve"> to include other investment approaches such as </w:t>
      </w:r>
      <w:r w:rsidRPr="00AB01EA">
        <w:rPr>
          <w:b/>
          <w:bCs/>
        </w:rPr>
        <w:t>engagement</w:t>
      </w:r>
      <w:r>
        <w:t xml:space="preserve"> and not solely negative screening (exclusion). A 2021 independent study confirmed that the investment approach focused on exclusion – encompassing </w:t>
      </w:r>
      <w:r w:rsidRPr="00AB01EA">
        <w:rPr>
          <w:b/>
          <w:bCs/>
        </w:rPr>
        <w:t>negative selection or disengagement – as the least effective</w:t>
      </w:r>
      <w:r>
        <w:t xml:space="preserve">, while the </w:t>
      </w:r>
      <w:r w:rsidRPr="00AB01EA">
        <w:rPr>
          <w:b/>
          <w:bCs/>
        </w:rPr>
        <w:t>most effective</w:t>
      </w:r>
      <w:r>
        <w:t xml:space="preserve"> fund investment strategy derives from </w:t>
      </w:r>
      <w:r w:rsidRPr="00AB01EA">
        <w:rPr>
          <w:b/>
          <w:bCs/>
        </w:rPr>
        <w:t>engagement</w:t>
      </w:r>
      <w:r>
        <w:t xml:space="preserve"> (3) </w:t>
      </w:r>
      <w:r w:rsidRPr="003C1ADF">
        <w:t>https://betterfinance.eu/publication/better-finance-position-on-the-classification-of-investment-funds-regarding-sustainability/</w:t>
      </w:r>
      <w:r>
        <w:t xml:space="preserve">. </w:t>
      </w:r>
      <w:r>
        <w:t xml:space="preserve">Funds must establish a measurable exercise/tool to assess this, which will enhance clarity and impact for retail investors and address reputational risk for funds. If we for instance consider the alternative, whereby European institutional investors disengage and increase their sell-off at bargain prices of fossil fuel related stocks to non-European investors who may or may not have the aim of reorienting cash flows of companies towards a green transition, it becomes clear that this poses a much greater risk for the environment in the long run. Therefore, </w:t>
      </w:r>
      <w:r>
        <w:rPr>
          <w:lang w:val="en-US"/>
        </w:rPr>
        <w:t>i</w:t>
      </w:r>
      <w:r w:rsidRPr="006B2918">
        <w:rPr>
          <w:lang w:val="en-US"/>
        </w:rPr>
        <w:t>f investment</w:t>
      </w:r>
      <w:r>
        <w:rPr>
          <w:lang w:val="en-US"/>
        </w:rPr>
        <w:t>s do not</w:t>
      </w:r>
      <w:r w:rsidRPr="006B2918">
        <w:rPr>
          <w:lang w:val="en-US"/>
        </w:rPr>
        <w:t xml:space="preserve"> flow into the transition, the </w:t>
      </w:r>
      <w:r w:rsidRPr="00AB01EA">
        <w:rPr>
          <w:b/>
          <w:bCs/>
          <w:lang w:val="en-US"/>
        </w:rPr>
        <w:t>objective of sustain</w:t>
      </w:r>
      <w:r w:rsidRPr="00AB01EA">
        <w:rPr>
          <w:b/>
          <w:bCs/>
          <w:lang w:val="en-US"/>
        </w:rPr>
        <w:lastRenderedPageBreak/>
        <w:t>able finance to support the economy</w:t>
      </w:r>
      <w:r w:rsidRPr="00026FE8">
        <w:rPr>
          <w:lang w:val="en-US"/>
        </w:rPr>
        <w:t xml:space="preserve">, all sectors included, to transition will not be </w:t>
      </w:r>
      <w:r>
        <w:rPr>
          <w:lang w:val="en-US"/>
        </w:rPr>
        <w:t>achieved</w:t>
      </w:r>
      <w:r w:rsidRPr="00026FE8">
        <w:rPr>
          <w:lang w:val="en-US"/>
        </w:rPr>
        <w:t>. For instance, if “</w:t>
      </w:r>
      <w:r w:rsidRPr="00AB01EA">
        <w:rPr>
          <w:b/>
          <w:bCs/>
          <w:lang w:val="en-US"/>
        </w:rPr>
        <w:t>transition</w:t>
      </w:r>
      <w:r w:rsidRPr="00026FE8">
        <w:rPr>
          <w:lang w:val="en-US"/>
        </w:rPr>
        <w:t>” is in the name</w:t>
      </w:r>
      <w:r>
        <w:rPr>
          <w:lang w:val="en-US"/>
        </w:rPr>
        <w:t xml:space="preserve"> of a fund</w:t>
      </w:r>
      <w:r w:rsidRPr="00026FE8">
        <w:rPr>
          <w:lang w:val="en-US"/>
        </w:rPr>
        <w:t xml:space="preserve">, </w:t>
      </w:r>
      <w:r>
        <w:rPr>
          <w:lang w:val="en-US"/>
        </w:rPr>
        <w:t xml:space="preserve">it should be </w:t>
      </w:r>
      <w:r w:rsidRPr="00026FE8">
        <w:rPr>
          <w:lang w:val="en-US"/>
        </w:rPr>
        <w:t>expect</w:t>
      </w:r>
      <w:r>
        <w:rPr>
          <w:lang w:val="en-US"/>
        </w:rPr>
        <w:t>ed</w:t>
      </w:r>
      <w:r w:rsidRPr="00026FE8">
        <w:rPr>
          <w:lang w:val="en-US"/>
        </w:rPr>
        <w:t xml:space="preserve"> that the </w:t>
      </w:r>
      <w:r w:rsidRPr="00AB01EA">
        <w:rPr>
          <w:b/>
          <w:bCs/>
          <w:lang w:val="en-US"/>
        </w:rPr>
        <w:t>investments of the fund have a clear</w:t>
      </w:r>
      <w:r>
        <w:rPr>
          <w:b/>
          <w:bCs/>
          <w:lang w:val="en-US"/>
        </w:rPr>
        <w:t xml:space="preserve"> </w:t>
      </w:r>
      <w:r w:rsidRPr="003C1ADF">
        <w:rPr>
          <w:b/>
          <w:bCs/>
          <w:lang w:val="en-US"/>
        </w:rPr>
        <w:t xml:space="preserve">publicly disclosed </w:t>
      </w:r>
      <w:r w:rsidRPr="00AB01EA">
        <w:rPr>
          <w:b/>
          <w:bCs/>
          <w:lang w:val="en-US"/>
        </w:rPr>
        <w:t>transition plan</w:t>
      </w:r>
      <w:bookmarkEnd w:id="5"/>
      <w:r w:rsidRPr="00026FE8">
        <w:rPr>
          <w:lang w:val="en-US"/>
        </w:rPr>
        <w:t>.</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1A787A44" w:rsidR="00B92885" w:rsidRDefault="003C1ADF" w:rsidP="00B92885">
      <w:permStart w:id="175976681" w:edGrp="everyone"/>
      <w:r>
        <w:t xml:space="preserve">BETTER FINANCE is of the view that there are </w:t>
      </w:r>
      <w:r w:rsidRPr="00AB01EA">
        <w:rPr>
          <w:b/>
          <w:bCs/>
        </w:rPr>
        <w:t>significant limitations to taxonomy and exclusion-based approaches</w:t>
      </w:r>
      <w:r>
        <w:t xml:space="preserve"> </w:t>
      </w:r>
      <w:r w:rsidRPr="003C1ADF">
        <w:t xml:space="preserve">to responsible </w:t>
      </w:r>
      <w:r w:rsidRPr="003C1ADF">
        <w:t>investing and</w:t>
      </w:r>
      <w:r w:rsidRPr="003C1ADF">
        <w:t xml:space="preserve"> invites the supervisory authority to </w:t>
      </w:r>
      <w:r w:rsidRPr="003C1ADF">
        <w:rPr>
          <w:b/>
          <w:bCs/>
        </w:rPr>
        <w:t>consider engagement and other more effective investment strategies than exclusion</w:t>
      </w:r>
      <w:r w:rsidRPr="003C1ADF">
        <w:t xml:space="preserve"> and the effect this may have on the number of eligible (sustainable) funds. </w:t>
      </w:r>
      <w:proofErr w:type="gramStart"/>
      <w:r w:rsidRPr="003C1ADF">
        <w:rPr>
          <w:lang w:val="en-US"/>
        </w:rPr>
        <w:t>In particular, aligning</w:t>
      </w:r>
      <w:proofErr w:type="gramEnd"/>
      <w:r w:rsidRPr="003C1ADF">
        <w:rPr>
          <w:lang w:val="en-US"/>
        </w:rPr>
        <w:t xml:space="preserve"> </w:t>
      </w:r>
      <w:r>
        <w:rPr>
          <w:lang w:val="en-US"/>
        </w:rPr>
        <w:t xml:space="preserve">all ESG funds to these </w:t>
      </w:r>
      <w:r w:rsidRPr="00AB01EA">
        <w:rPr>
          <w:b/>
          <w:bCs/>
          <w:lang w:val="en-US"/>
        </w:rPr>
        <w:t>exclusions will exclude the energy sector</w:t>
      </w:r>
      <w:r>
        <w:rPr>
          <w:lang w:val="en-US"/>
        </w:rPr>
        <w:t xml:space="preserve">, which is one of the sectors in need of transition. </w:t>
      </w:r>
      <w:r>
        <w:t xml:space="preserve">Investments for the purpose of transition can positively impact the environment, </w:t>
      </w:r>
      <w:r w:rsidRPr="00AB01EA">
        <w:rPr>
          <w:b/>
          <w:bCs/>
        </w:rPr>
        <w:t>provided companies are engaged ones</w:t>
      </w:r>
      <w:r>
        <w:t xml:space="preserve">, </w:t>
      </w:r>
      <w:proofErr w:type="gramStart"/>
      <w:r>
        <w:t>i.e.</w:t>
      </w:r>
      <w:proofErr w:type="gramEnd"/>
      <w:r>
        <w:t xml:space="preserve"> that they are accompanied with active share ownership and engagement aiming in particular at increasing the focus of the corporate investment plans and business model of a fossil fuel company for example towards a low carbon pathway and accelerate energy transition plans. </w:t>
      </w:r>
      <w:r w:rsidRPr="00AB01EA">
        <w:rPr>
          <w:b/>
          <w:bCs/>
          <w:lang w:val="en-US"/>
        </w:rPr>
        <w:t>S</w:t>
      </w:r>
      <w:r w:rsidRPr="00AB01EA">
        <w:rPr>
          <w:b/>
          <w:bCs/>
        </w:rPr>
        <w:t>trong engagement</w:t>
      </w:r>
      <w:r>
        <w:t xml:space="preserve"> for example </w:t>
      </w:r>
      <w:r w:rsidRPr="00AB01EA">
        <w:rPr>
          <w:b/>
          <w:bCs/>
        </w:rPr>
        <w:t>could benefit retail investors and companies alike</w:t>
      </w:r>
      <w:r>
        <w:t>, and by extension the overall objectives of the sustainable finance agenda.</w:t>
      </w:r>
      <w:r w:rsidRPr="00971361">
        <w:rPr>
          <w:lang w:val="en-US"/>
        </w:rPr>
        <w:t xml:space="preserve"> </w:t>
      </w:r>
      <w:r>
        <w:rPr>
          <w:lang w:val="en-US"/>
        </w:rPr>
        <w:t xml:space="preserve">Transitioning companies should have </w:t>
      </w:r>
      <w:r w:rsidRPr="00AB01EA">
        <w:rPr>
          <w:b/>
          <w:bCs/>
          <w:lang w:val="en-US"/>
        </w:rPr>
        <w:t>credible transition plans</w:t>
      </w:r>
      <w:r>
        <w:rPr>
          <w:lang w:val="en-US"/>
        </w:rPr>
        <w:t>, for instance</w:t>
      </w:r>
      <w:r w:rsidRPr="00E31C69">
        <w:rPr>
          <w:lang w:val="en-US"/>
        </w:rPr>
        <w:t xml:space="preserve"> with verified science-based targets to be eligible </w:t>
      </w:r>
      <w:r>
        <w:rPr>
          <w:lang w:val="en-US"/>
        </w:rPr>
        <w:t>as</w:t>
      </w:r>
      <w:r w:rsidRPr="00E31C69">
        <w:rPr>
          <w:lang w:val="en-US"/>
        </w:rPr>
        <w:t xml:space="preserve"> sustainable investments.</w:t>
      </w:r>
      <w:r>
        <w:rPr>
          <w:lang w:val="en-US"/>
        </w:rPr>
        <w:t xml:space="preserve"> </w:t>
      </w:r>
      <w:r w:rsidRPr="003C1ADF">
        <w:rPr>
          <w:lang w:val="en-US"/>
        </w:rPr>
        <w:t xml:space="preserve">The </w:t>
      </w:r>
      <w:r w:rsidRPr="003C1ADF">
        <w:rPr>
          <w:b/>
          <w:bCs/>
          <w:lang w:val="en-US"/>
        </w:rPr>
        <w:t>taxonomy was not designed as a methodology for effective ESG investing strategies</w:t>
      </w:r>
      <w:r w:rsidRPr="003C1ADF">
        <w:rPr>
          <w:lang w:val="en-US"/>
        </w:rPr>
        <w:t xml:space="preserve">, as it only describes the ASG compliant economic activities, </w:t>
      </w:r>
      <w:proofErr w:type="gramStart"/>
      <w:r w:rsidRPr="003C1ADF">
        <w:rPr>
          <w:lang w:val="en-US"/>
        </w:rPr>
        <w:t>i.e.</w:t>
      </w:r>
      <w:proofErr w:type="gramEnd"/>
      <w:r w:rsidRPr="003C1ADF">
        <w:rPr>
          <w:lang w:val="en-US"/>
        </w:rPr>
        <w:t xml:space="preserve"> the end-goal of the ESG transition required. Especially for listed equity investments (</w:t>
      </w:r>
      <w:proofErr w:type="gramStart"/>
      <w:r w:rsidRPr="003C1ADF">
        <w:rPr>
          <w:lang w:val="en-US"/>
        </w:rPr>
        <w:t>the</w:t>
      </w:r>
      <w:proofErr w:type="gramEnd"/>
      <w:r w:rsidRPr="003C1ADF">
        <w:rPr>
          <w:lang w:val="en-US"/>
        </w:rPr>
        <w:t xml:space="preserve"> major part of ESG retail fund investing, the </w:t>
      </w:r>
      <w:r w:rsidRPr="003C1ADF">
        <w:rPr>
          <w:b/>
          <w:bCs/>
          <w:lang w:val="en-US"/>
        </w:rPr>
        <w:t>“exclusion” investing strategy may eventually prove not only not effective but detrimental by diverting precious funding resources to activities / companies</w:t>
      </w:r>
      <w:r w:rsidRPr="003C1ADF">
        <w:rPr>
          <w:lang w:val="en-US"/>
        </w:rPr>
        <w:t xml:space="preserve"> that – even if highly taxonomy- compliant – will do </w:t>
      </w:r>
      <w:r w:rsidRPr="003C1ADF">
        <w:rPr>
          <w:b/>
          <w:bCs/>
          <w:lang w:val="en-US"/>
        </w:rPr>
        <w:t>little or nothing to improve ESG factors</w:t>
      </w:r>
      <w:r w:rsidRPr="003C1ADF">
        <w:rPr>
          <w:lang w:val="en-US"/>
        </w:rPr>
        <w:t xml:space="preserve">. The current ESG </w:t>
      </w:r>
      <w:r w:rsidRPr="003C1ADF">
        <w:rPr>
          <w:lang w:val="en-US"/>
        </w:rPr>
        <w:t>indices -</w:t>
      </w:r>
      <w:r w:rsidRPr="003C1ADF">
        <w:rPr>
          <w:lang w:val="en-US"/>
        </w:rPr>
        <w:t xml:space="preserve"> mostly based on the exclusion approach – increase further the weightings of already very highly valued tech companies in the software and communications areas in </w:t>
      </w:r>
      <w:proofErr w:type="gramStart"/>
      <w:r w:rsidRPr="003C1ADF">
        <w:rPr>
          <w:lang w:val="en-US"/>
        </w:rPr>
        <w:t>particular ,</w:t>
      </w:r>
      <w:proofErr w:type="gramEnd"/>
      <w:r w:rsidRPr="003C1ADF">
        <w:rPr>
          <w:lang w:val="en-US"/>
        </w:rPr>
        <w:t xml:space="preserve"> </w:t>
      </w:r>
      <w:r w:rsidRPr="003C1ADF">
        <w:rPr>
          <w:b/>
          <w:bCs/>
          <w:lang w:val="en-US"/>
        </w:rPr>
        <w:t>with no evidence of positive impact on ESG factors</w:t>
      </w:r>
      <w:r w:rsidRPr="003C1ADF">
        <w:rPr>
          <w:lang w:val="en-US"/>
        </w:rPr>
        <w:t xml:space="preserve">. BETTER FINANCE believes that for these reasons the </w:t>
      </w:r>
      <w:r w:rsidRPr="003C1ADF">
        <w:rPr>
          <w:b/>
          <w:bCs/>
          <w:lang w:val="en-US"/>
        </w:rPr>
        <w:t>exclusion approach is the most prone to greenwashing risks</w:t>
      </w:r>
      <w:r w:rsidRPr="003C1ADF">
        <w:rPr>
          <w:lang w:val="en-US"/>
        </w:rPr>
        <w:t>.</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1D2203A1" w:rsidR="00B92885" w:rsidRPr="003C1ADF" w:rsidRDefault="003C1ADF" w:rsidP="00B92885">
      <w:permStart w:id="576722602" w:edGrp="everyone"/>
      <w:r w:rsidRPr="003C1ADF">
        <w:t>As deriv</w:t>
      </w:r>
      <w:r>
        <w:t xml:space="preserve">atives are a complex type of financial security referring to a type of financial contract whose value is dependent on an underlying asset for example, whereby their use either mitigates risk or assumes risk with the expectation of commensurate reward, </w:t>
      </w:r>
      <w:r w:rsidRPr="003C1ADF">
        <w:rPr>
          <w:b/>
          <w:bCs/>
        </w:rPr>
        <w:t>derivatives should be subject to specific provisions</w:t>
      </w:r>
      <w:r>
        <w:t xml:space="preserve"> for calculating thresholds in regard to the proposed Guidelines. </w:t>
      </w:r>
      <w:r w:rsidRPr="003C1ADF">
        <w:t>I</w:t>
      </w:r>
      <w:r w:rsidRPr="003C1ADF">
        <w:t xml:space="preserve">n order to </w:t>
      </w:r>
      <w:r w:rsidRPr="003C1ADF">
        <w:rPr>
          <w:b/>
          <w:bCs/>
        </w:rPr>
        <w:t xml:space="preserve">properly inform </w:t>
      </w:r>
      <w:r w:rsidRPr="003C1ADF">
        <w:rPr>
          <w:b/>
          <w:bCs/>
        </w:rPr>
        <w:t>non-professional</w:t>
      </w:r>
      <w:r w:rsidRPr="003C1ADF">
        <w:rPr>
          <w:b/>
          <w:bCs/>
        </w:rPr>
        <w:t xml:space="preserve"> individual (“retail”) </w:t>
      </w:r>
      <w:proofErr w:type="gramStart"/>
      <w:r w:rsidRPr="003C1ADF">
        <w:rPr>
          <w:b/>
          <w:bCs/>
        </w:rPr>
        <w:t>investors</w:t>
      </w:r>
      <w:r w:rsidRPr="003C1ADF">
        <w:t xml:space="preserve">, </w:t>
      </w:r>
      <w:r w:rsidRPr="003C1ADF">
        <w:t>since</w:t>
      </w:r>
      <w:proofErr w:type="gramEnd"/>
      <w:r w:rsidRPr="003C1ADF">
        <w:t xml:space="preserve"> the use of derivatives can generate a significant difference between the stated </w:t>
      </w:r>
      <w:r w:rsidRPr="003C1ADF">
        <w:rPr>
          <w:b/>
          <w:bCs/>
        </w:rPr>
        <w:t>investment objectives of an investment fund and the actual constituents of its portfolio</w:t>
      </w:r>
      <w:r w:rsidRPr="003C1ADF">
        <w:t xml:space="preserve">. For example a synthetic ESG equity index fund using total return swaps can be in principle largely invested </w:t>
      </w:r>
      <w:proofErr w:type="gramStart"/>
      <w:r w:rsidRPr="003C1ADF">
        <w:t>in  -</w:t>
      </w:r>
      <w:proofErr w:type="gramEnd"/>
      <w:r w:rsidRPr="003C1ADF">
        <w:t xml:space="preserve"> for example – non “green” Japanese bonds</w:t>
      </w:r>
      <w:r w:rsidRPr="003C1ADF">
        <w:t>.</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3B22F5DC" w:rsidR="00B92885" w:rsidRPr="003C1ADF" w:rsidRDefault="003C1ADF" w:rsidP="00B92885">
      <w:pPr>
        <w:rPr>
          <w:rFonts w:cs="Arial"/>
          <w:sz w:val="22"/>
          <w:szCs w:val="28"/>
        </w:rPr>
      </w:pPr>
      <w:permStart w:id="1071974531" w:edGrp="everyone"/>
      <w:r w:rsidRPr="003C1ADF">
        <w:rPr>
          <w:rStyle w:val="cf01"/>
          <w:rFonts w:ascii="Arial" w:hAnsi="Arial" w:cs="Arial"/>
          <w:sz w:val="20"/>
          <w:szCs w:val="20"/>
        </w:rPr>
        <w:t xml:space="preserve">Market value and notional value each represent different sums that are important for investors to </w:t>
      </w:r>
      <w:r w:rsidRPr="003C1ADF">
        <w:rPr>
          <w:rStyle w:val="cf01"/>
          <w:rFonts w:ascii="Arial" w:hAnsi="Arial" w:cs="Arial"/>
          <w:sz w:val="20"/>
          <w:szCs w:val="20"/>
        </w:rPr>
        <w:t>understand.</w:t>
      </w:r>
      <w:r>
        <w:rPr>
          <w:rStyle w:val="cf01"/>
          <w:rFonts w:ascii="Arial" w:hAnsi="Arial" w:cs="Arial"/>
          <w:sz w:val="20"/>
          <w:szCs w:val="20"/>
        </w:rPr>
        <w:t xml:space="preserve"> </w:t>
      </w:r>
      <w:r w:rsidRPr="003C1ADF">
        <w:t>Mi</w:t>
      </w:r>
      <w:r w:rsidRPr="003C1ADF">
        <w:t>FID</w:t>
      </w:r>
      <w:r w:rsidRPr="003C1ADF">
        <w:t xml:space="preserve"> rules on clear information warrants that it </w:t>
      </w:r>
      <w:proofErr w:type="gramStart"/>
      <w:r w:rsidRPr="003C1ADF">
        <w:t>has to</w:t>
      </w:r>
      <w:proofErr w:type="gramEnd"/>
      <w:r w:rsidRPr="003C1ADF">
        <w:t xml:space="preserve"> be understood by the majority of the targets</w:t>
      </w:r>
      <w:r w:rsidRPr="00B82811">
        <w:rPr>
          <w:color w:val="0070C0"/>
        </w:rPr>
        <w:t xml:space="preserve">. </w:t>
      </w:r>
      <w:r w:rsidRPr="003C1ADF">
        <w:lastRenderedPageBreak/>
        <w:t xml:space="preserve">However, </w:t>
      </w:r>
      <w:r w:rsidRPr="003C1ADF">
        <w:rPr>
          <w:b/>
          <w:bCs/>
        </w:rPr>
        <w:t>r</w:t>
      </w:r>
      <w:r w:rsidRPr="003C1ADF">
        <w:rPr>
          <w:b/>
          <w:bCs/>
        </w:rPr>
        <w:t xml:space="preserve">etail investors will have no understanding of what </w:t>
      </w:r>
      <w:proofErr w:type="gramStart"/>
      <w:r w:rsidRPr="003C1ADF">
        <w:rPr>
          <w:b/>
          <w:bCs/>
        </w:rPr>
        <w:t>is the “notional value” of an investment</w:t>
      </w:r>
      <w:proofErr w:type="gramEnd"/>
      <w:r w:rsidRPr="003C1ADF">
        <w:rPr>
          <w:b/>
          <w:bCs/>
        </w:rPr>
        <w:t>, especially a publicly listed one</w:t>
      </w:r>
      <w:r>
        <w:rPr>
          <w:b/>
          <w:bCs/>
        </w:rPr>
        <w:t>.</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BD7D780" w:rsidR="00B92885" w:rsidRDefault="003C1ADF" w:rsidP="00B92885">
      <w:permStart w:id="1162834929" w:edGrp="everyone"/>
      <w:r>
        <w:t>Not applicable to retail investors.</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653A57B4" w:rsidR="00B92885" w:rsidRDefault="003C1ADF" w:rsidP="00B92885">
      <w:permStart w:id="650455330" w:edGrp="everyone"/>
      <w:r w:rsidRPr="003C1ADF">
        <w:rPr>
          <w:b/>
          <w:bCs/>
        </w:rPr>
        <w:t>ESG index funds should indeed follow the same requirements as funds claiming to use an “active” approach.</w:t>
      </w:r>
      <w:r w:rsidRPr="003C1ADF">
        <w:t xml:space="preserve"> This raises the issue in turn of ESG indices’ names. For </w:t>
      </w:r>
      <w:r w:rsidRPr="003C1ADF">
        <w:t>example,</w:t>
      </w:r>
      <w:r w:rsidRPr="003C1ADF">
        <w:t xml:space="preserve"> are the “FTSE4Good” indices really helping index funds or any active funds benchmarked on such indices to do any good? </w:t>
      </w:r>
      <w:r>
        <w:t xml:space="preserve">While this will </w:t>
      </w:r>
      <w:r w:rsidRPr="00AB01EA">
        <w:rPr>
          <w:b/>
          <w:bCs/>
        </w:rPr>
        <w:t>ensure complete consistency for retail investors</w:t>
      </w:r>
      <w:r>
        <w:t xml:space="preserve">, funds designating an index as a reference benchmark </w:t>
      </w:r>
      <w:r w:rsidRPr="003C1ADF">
        <w:t xml:space="preserve">(whether passive/index or active ones) </w:t>
      </w:r>
      <w:r>
        <w:t xml:space="preserve">assumes that index </w:t>
      </w:r>
      <w:r w:rsidRPr="00AB01EA">
        <w:rPr>
          <w:b/>
          <w:bCs/>
        </w:rPr>
        <w:t>providers follow a harmonised set of rules</w:t>
      </w:r>
      <w:r>
        <w:t xml:space="preserve">, especially when in reality there are multiple </w:t>
      </w:r>
      <w:r w:rsidRPr="00AB01EA">
        <w:rPr>
          <w:b/>
          <w:bCs/>
        </w:rPr>
        <w:t>challenges linked to a lack of a common definition, comparability, together with transparency issues</w:t>
      </w:r>
      <w:r>
        <w:t>. For example, ratings from MSCI and Sustainalytics serve as input to both benchmark indices and fund ESG ratings</w:t>
      </w:r>
      <w:r w:rsidRPr="00CE1FAD">
        <w:rPr>
          <w:color w:val="0070C0"/>
        </w:rPr>
        <w:t xml:space="preserve">. </w:t>
      </w:r>
      <w:r w:rsidRPr="003C1ADF">
        <w:t>W</w:t>
      </w:r>
      <w:r>
        <w:t xml:space="preserve">ithout a </w:t>
      </w:r>
      <w:r w:rsidRPr="003C1ADF">
        <w:rPr>
          <w:b/>
          <w:bCs/>
        </w:rPr>
        <w:t>proper regulatory framework in the space of ESG ratings and indices</w:t>
      </w:r>
      <w:r w:rsidRPr="00CE1FAD">
        <w:rPr>
          <w:color w:val="0070C0"/>
        </w:rPr>
        <w:t xml:space="preserve">, </w:t>
      </w:r>
      <w:r>
        <w:t xml:space="preserve">certain index providers may simply create custom indices, raise </w:t>
      </w:r>
      <w:proofErr w:type="gramStart"/>
      <w:r>
        <w:t>costs</w:t>
      </w:r>
      <w:proofErr w:type="gramEnd"/>
      <w:r>
        <w:t xml:space="preserve"> and make it difficult to follow proposed rules.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016B0F2" w:rsidR="00B92885" w:rsidRDefault="003C1ADF" w:rsidP="00B92885">
      <w:permStart w:id="1876589445" w:edGrp="everyone"/>
      <w:r>
        <w:t>Yes, please see above response to Q7.</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0052BF2A" w:rsidR="00B92885" w:rsidRDefault="003C1ADF" w:rsidP="00B92885">
      <w:permStart w:id="1992309739" w:edGrp="everyone"/>
      <w:r w:rsidRPr="003C1ADF">
        <w:rPr>
          <w:b/>
          <w:bCs/>
        </w:rPr>
        <w:t>Yes</w:t>
      </w:r>
      <w:r>
        <w:t xml:space="preserve"> - </w:t>
      </w:r>
      <w:r>
        <w:t xml:space="preserve">With the rapid development of </w:t>
      </w:r>
      <w:r>
        <w:t>sustainably denominated</w:t>
      </w:r>
      <w:r>
        <w:t xml:space="preserve"> financial products, it is becoming increasingly important to assess the </w:t>
      </w:r>
      <w:r w:rsidRPr="00AB01EA">
        <w:rPr>
          <w:b/>
          <w:bCs/>
        </w:rPr>
        <w:t>impac</w:t>
      </w:r>
      <w:r>
        <w:t xml:space="preserve">t they have on making the real economy more sustainable. Currently there is </w:t>
      </w:r>
      <w:r w:rsidRPr="00AB01EA">
        <w:rPr>
          <w:b/>
          <w:bCs/>
        </w:rPr>
        <w:t>no specific regulatory guidance governing the content of environmental impact claims</w:t>
      </w:r>
      <w:r>
        <w:t xml:space="preserve"> in the finance sector, </w:t>
      </w:r>
      <w:r w:rsidRPr="00AB01EA">
        <w:rPr>
          <w:b/>
          <w:bCs/>
        </w:rPr>
        <w:t>despite some existing definitions (in general)</w:t>
      </w:r>
      <w:r>
        <w:t xml:space="preserve"> like the one of ‘Finance for Tomorrow</w:t>
      </w:r>
      <w:r>
        <w:t xml:space="preserve">: </w:t>
      </w:r>
      <w:r>
        <w:t xml:space="preserve">“impact finance is an investment or funding strategy that aims to accelerate the just and sustainable transformation of the real economy by providing proof of its positive effects.” </w:t>
      </w:r>
      <w:r>
        <w:t xml:space="preserve">(4) </w:t>
      </w:r>
      <w:r>
        <w:t>Finance for Tomorrow impact definition, available at: https://financefortomorrow.com/en/impactfinance/#:~:text=Impact%20Finance%20is%20an%20investment,evidence%20of%20its%20beneficial%20effects</w:t>
      </w:r>
      <w:r>
        <w:t xml:space="preserve"> </w:t>
      </w:r>
      <w:r w:rsidRPr="003C1ADF">
        <w:t xml:space="preserve">The </w:t>
      </w:r>
      <w:r w:rsidRPr="003C1ADF">
        <w:rPr>
          <w:b/>
          <w:bCs/>
        </w:rPr>
        <w:t>proof/evidence of the impact</w:t>
      </w:r>
      <w:r w:rsidRPr="003C1ADF">
        <w:t xml:space="preserve"> should be </w:t>
      </w:r>
      <w:r w:rsidRPr="003C1ADF">
        <w:rPr>
          <w:b/>
          <w:bCs/>
        </w:rPr>
        <w:t xml:space="preserve">clear and </w:t>
      </w:r>
      <w:r>
        <w:rPr>
          <w:b/>
          <w:bCs/>
        </w:rPr>
        <w:t>measurable</w:t>
      </w:r>
      <w:r>
        <w:t xml:space="preserve">. It should also be noted that the same </w:t>
      </w:r>
      <w:r w:rsidRPr="00AB01EA">
        <w:rPr>
          <w:b/>
          <w:bCs/>
        </w:rPr>
        <w:t>rule should apply for impact related fund names as it does to ESG/sustainability/transition etc.</w:t>
      </w:r>
      <w:r>
        <w:t xml:space="preserve"> The three pillars more widely recognised today in relation to impact are inclusive of intention, </w:t>
      </w:r>
      <w:proofErr w:type="gramStart"/>
      <w:r>
        <w:t>additionality</w:t>
      </w:r>
      <w:proofErr w:type="gramEnd"/>
      <w:r>
        <w:t xml:space="preserve"> and measure.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lastRenderedPageBreak/>
        <w:t>&lt;ESMA_QUESTION_FUNA_11&gt;</w:t>
      </w:r>
    </w:p>
    <w:p w14:paraId="61188F70" w14:textId="79874D80" w:rsidR="00B92885" w:rsidRDefault="003C1ADF" w:rsidP="00B92885">
      <w:permStart w:id="1423966990" w:edGrp="everyone"/>
      <w:r w:rsidRPr="003C1ADF">
        <w:rPr>
          <w:b/>
          <w:bCs/>
        </w:rPr>
        <w:t>Yes</w:t>
      </w:r>
      <w:r>
        <w:t xml:space="preserve"> - </w:t>
      </w:r>
      <w:r>
        <w:t xml:space="preserve">as mentioned in previous responses </w:t>
      </w:r>
      <w:r>
        <w:t>to this consultation</w:t>
      </w:r>
      <w:r>
        <w:t xml:space="preserve">, BETTER FINANCE is of the view that </w:t>
      </w:r>
      <w:r w:rsidRPr="00AB01EA">
        <w:rPr>
          <w:b/>
          <w:bCs/>
        </w:rPr>
        <w:t>transition/transition related names should be integrated in the guidelines</w:t>
      </w:r>
      <w:r>
        <w:t xml:space="preserve"> given the important role of transition finance in achieving a net positive change (for example with GHG reduction). Therefore, investments in fossil fuel companies can positively impact the environment, provided they are </w:t>
      </w:r>
      <w:r w:rsidRPr="00AB01EA">
        <w:rPr>
          <w:b/>
          <w:bCs/>
        </w:rPr>
        <w:t>engaged ones</w:t>
      </w:r>
      <w:r>
        <w:t xml:space="preserve">, </w:t>
      </w:r>
      <w:proofErr w:type="gramStart"/>
      <w:r>
        <w:t>i.e.</w:t>
      </w:r>
      <w:proofErr w:type="gramEnd"/>
      <w:r>
        <w:t xml:space="preserve"> that they are accompanied with active share ownership aiming in particular at increasing the focus of the corporate investment plans and business model of the fossil fuel company towards a low carbon pathway and accelerate </w:t>
      </w:r>
      <w:r w:rsidRPr="00AB01EA">
        <w:rPr>
          <w:b/>
          <w:bCs/>
        </w:rPr>
        <w:t>energy transition plans</w:t>
      </w:r>
      <w:r>
        <w:t>.</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342ADBF" w:rsidR="00B92885" w:rsidRPr="003C1ADF" w:rsidRDefault="003C1ADF" w:rsidP="00B92885">
      <w:permStart w:id="1434478937" w:edGrp="everyone"/>
      <w:r w:rsidRPr="003C1ADF">
        <w:rPr>
          <w:b/>
          <w:bCs/>
          <w:lang w:val="en-US"/>
        </w:rPr>
        <w:t>Same overarching rules should be applied</w:t>
      </w:r>
      <w:r w:rsidRPr="003C1ADF">
        <w:rPr>
          <w:lang w:val="en-US"/>
        </w:rPr>
        <w:t xml:space="preserve"> by all ESAs and </w:t>
      </w:r>
      <w:r w:rsidRPr="003C1ADF">
        <w:rPr>
          <w:b/>
          <w:bCs/>
          <w:lang w:val="en-US"/>
        </w:rPr>
        <w:t>harmoni</w:t>
      </w:r>
      <w:r>
        <w:rPr>
          <w:b/>
          <w:bCs/>
          <w:lang w:val="en-US"/>
        </w:rPr>
        <w:t>s</w:t>
      </w:r>
      <w:r w:rsidRPr="003C1ADF">
        <w:rPr>
          <w:b/>
          <w:bCs/>
          <w:lang w:val="en-US"/>
        </w:rPr>
        <w:t>ation of guidelines</w:t>
      </w:r>
      <w:r w:rsidRPr="003C1ADF">
        <w:rPr>
          <w:lang w:val="en-US"/>
        </w:rPr>
        <w:t xml:space="preserve"> with existing legislation is </w:t>
      </w:r>
      <w:r w:rsidRPr="003C1ADF">
        <w:rPr>
          <w:b/>
          <w:bCs/>
          <w:lang w:val="en-US"/>
        </w:rPr>
        <w:t>necessary to ensure retail investors</w:t>
      </w:r>
      <w:r w:rsidRPr="003C1ADF">
        <w:rPr>
          <w:lang w:val="en-US"/>
        </w:rPr>
        <w:t xml:space="preserve"> (regardless of the type of ESG product/service they invest in) </w:t>
      </w:r>
      <w:r w:rsidRPr="003C1ADF">
        <w:rPr>
          <w:b/>
          <w:bCs/>
          <w:lang w:val="en-US"/>
        </w:rPr>
        <w:t>can compare and easily understand</w:t>
      </w:r>
      <w:r w:rsidRPr="003C1ADF">
        <w:rPr>
          <w:lang w:val="en-US"/>
        </w:rPr>
        <w:t xml:space="preserve"> how products </w:t>
      </w:r>
      <w:r w:rsidRPr="003C1ADF">
        <w:rPr>
          <w:lang w:val="en-US"/>
        </w:rPr>
        <w:t>differentiate.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516C89C" w:rsidR="00B92885" w:rsidRDefault="003C1ADF" w:rsidP="00B92885">
      <w:bookmarkStart w:id="6" w:name="_Hlk127814799"/>
      <w:permStart w:id="489244833" w:edGrp="everyone"/>
      <w:r w:rsidRPr="00AB01EA">
        <w:t xml:space="preserve">A </w:t>
      </w:r>
      <w:r w:rsidRPr="00AB01EA">
        <w:rPr>
          <w:b/>
          <w:bCs/>
        </w:rPr>
        <w:t>transitional period is indeed necessary</w:t>
      </w:r>
      <w:r>
        <w:t xml:space="preserve">, however the </w:t>
      </w:r>
      <w:r w:rsidRPr="00AB01EA">
        <w:rPr>
          <w:b/>
          <w:bCs/>
        </w:rPr>
        <w:t>exact length should also take into account</w:t>
      </w:r>
      <w:r>
        <w:t xml:space="preserve"> Annex III: Draft Guidelines on funds’ names using ESG or sustainability-related terms, </w:t>
      </w:r>
      <w:proofErr w:type="gramStart"/>
      <w:r>
        <w:t>Point</w:t>
      </w:r>
      <w:proofErr w:type="gramEnd"/>
      <w:r>
        <w:t xml:space="preserve"> 21, which stipulates a provision for a “</w:t>
      </w:r>
      <w:r w:rsidRPr="00AB01EA">
        <w:rPr>
          <w:b/>
          <w:bCs/>
        </w:rPr>
        <w:t>temporary deviation</w:t>
      </w:r>
      <w:r>
        <w:t xml:space="preserve">” whereby funds are given additional timeframe to comply with the threshold. BETTER FINANCE would also like to point out that </w:t>
      </w:r>
      <w:r w:rsidRPr="00AB01EA">
        <w:rPr>
          <w:b/>
          <w:bCs/>
        </w:rPr>
        <w:t>there is no set/approximate</w:t>
      </w:r>
      <w:r>
        <w:t xml:space="preserve"> </w:t>
      </w:r>
      <w:proofErr w:type="gramStart"/>
      <w:r>
        <w:t>time period</w:t>
      </w:r>
      <w:proofErr w:type="gramEnd"/>
      <w:r>
        <w:t xml:space="preserve"> for a said “temporary deviation” which may in fact be detrimental for retail investors and their associated investment decisions</w:t>
      </w:r>
      <w:r>
        <w:t xml:space="preserve"> if left unaddressed</w:t>
      </w:r>
      <w:r>
        <w:t>.</w:t>
      </w:r>
      <w:bookmarkEnd w:id="6"/>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25ADD6AA" w:rsidR="00B92885" w:rsidRDefault="003C1ADF" w:rsidP="00B92885">
      <w:permStart w:id="929254269" w:edGrp="everyone"/>
      <w:r>
        <w:t xml:space="preserve">If </w:t>
      </w:r>
      <w:r w:rsidRPr="00AB01EA">
        <w:rPr>
          <w:b/>
          <w:bCs/>
        </w:rPr>
        <w:t>revised accordingly</w:t>
      </w:r>
      <w:r>
        <w:t xml:space="preserve">, the Guidelines will have a </w:t>
      </w:r>
      <w:r w:rsidRPr="00AB01EA">
        <w:rPr>
          <w:b/>
          <w:bCs/>
        </w:rPr>
        <w:t>positive impact in relation to preventing greenwashing</w:t>
      </w:r>
      <w:r>
        <w:t xml:space="preserve"> and </w:t>
      </w:r>
      <w:r w:rsidRPr="00AB01EA">
        <w:rPr>
          <w:b/>
          <w:bCs/>
        </w:rPr>
        <w:t>decreasing barriers to responsible investment</w:t>
      </w:r>
      <w:r>
        <w:t xml:space="preserve">, reduce unfair competition and increase capital flows deriving from sustainable/ESG etc. products and services. The </w:t>
      </w:r>
      <w:r w:rsidRPr="00AB01EA">
        <w:rPr>
          <w:b/>
          <w:bCs/>
        </w:rPr>
        <w:t>Guidelines can also boost</w:t>
      </w:r>
      <w:r>
        <w:t xml:space="preserve"> retail investor </w:t>
      </w:r>
      <w:r w:rsidRPr="00AB01EA">
        <w:rPr>
          <w:b/>
          <w:bCs/>
        </w:rPr>
        <w:t>trust</w:t>
      </w:r>
      <w:r>
        <w:t xml:space="preserve"> and </w:t>
      </w:r>
      <w:r w:rsidRPr="00AB01EA">
        <w:rPr>
          <w:b/>
          <w:bCs/>
        </w:rPr>
        <w:t>confidence</w:t>
      </w:r>
      <w:r>
        <w:t xml:space="preserve"> in financial markets </w:t>
      </w:r>
      <w:r w:rsidRPr="00AB01EA">
        <w:rPr>
          <w:b/>
          <w:bCs/>
        </w:rPr>
        <w:t>if executed in a harmonised</w:t>
      </w:r>
      <w:r>
        <w:t xml:space="preserve"> and </w:t>
      </w:r>
      <w:r w:rsidRPr="00AB01EA">
        <w:rPr>
          <w:b/>
          <w:bCs/>
        </w:rPr>
        <w:t>easy</w:t>
      </w:r>
      <w:r>
        <w:t xml:space="preserve"> to understand approach. However, </w:t>
      </w:r>
      <w:r w:rsidRPr="00AB01EA">
        <w:rPr>
          <w:b/>
          <w:bCs/>
        </w:rPr>
        <w:t>under the current Guidelines</w:t>
      </w:r>
      <w:r>
        <w:t xml:space="preserve">, especially in </w:t>
      </w:r>
      <w:r w:rsidRPr="00AB01EA">
        <w:rPr>
          <w:b/>
          <w:bCs/>
        </w:rPr>
        <w:t>reference to using negative screening approaches only</w:t>
      </w:r>
      <w:r>
        <w:t xml:space="preserve">, as well as the unclear “temporary deviation” </w:t>
      </w:r>
      <w:r>
        <w:t>period, the</w:t>
      </w:r>
      <w:r w:rsidRPr="00AB01EA">
        <w:rPr>
          <w:b/>
          <w:bCs/>
        </w:rPr>
        <w:t xml:space="preserve"> impact may be the opposite.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lastRenderedPageBreak/>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ACBB" w14:textId="77777777" w:rsidR="007828C9" w:rsidRDefault="007828C9">
      <w:r>
        <w:separator/>
      </w:r>
    </w:p>
    <w:p w14:paraId="5ABC59D3" w14:textId="77777777" w:rsidR="007828C9" w:rsidRDefault="007828C9"/>
  </w:endnote>
  <w:endnote w:type="continuationSeparator" w:id="0">
    <w:p w14:paraId="470D082D" w14:textId="77777777" w:rsidR="007828C9" w:rsidRDefault="007828C9">
      <w:r>
        <w:continuationSeparator/>
      </w:r>
    </w:p>
    <w:p w14:paraId="59FF9132" w14:textId="77777777" w:rsidR="007828C9" w:rsidRDefault="007828C9"/>
  </w:endnote>
  <w:endnote w:type="continuationNotice" w:id="1">
    <w:p w14:paraId="7D5387BD" w14:textId="77777777" w:rsidR="007828C9" w:rsidRDefault="0078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A6E4" w14:textId="77777777" w:rsidR="007828C9" w:rsidRDefault="007828C9">
      <w:r>
        <w:separator/>
      </w:r>
    </w:p>
    <w:p w14:paraId="6C9C63D3" w14:textId="77777777" w:rsidR="007828C9" w:rsidRDefault="007828C9"/>
  </w:footnote>
  <w:footnote w:type="continuationSeparator" w:id="0">
    <w:p w14:paraId="2F2B6D2C" w14:textId="77777777" w:rsidR="007828C9" w:rsidRDefault="007828C9">
      <w:r>
        <w:continuationSeparator/>
      </w:r>
    </w:p>
    <w:p w14:paraId="30080F3F" w14:textId="77777777" w:rsidR="007828C9" w:rsidRDefault="007828C9"/>
  </w:footnote>
  <w:footnote w:type="continuationNotice" w:id="1">
    <w:p w14:paraId="18CA3B18" w14:textId="77777777" w:rsidR="007828C9" w:rsidRDefault="00782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568421519">
    <w:abstractNumId w:val="16"/>
  </w:num>
  <w:num w:numId="2" w16cid:durableId="203178122">
    <w:abstractNumId w:val="18"/>
  </w:num>
  <w:num w:numId="3" w16cid:durableId="558706232">
    <w:abstractNumId w:val="11"/>
  </w:num>
  <w:num w:numId="4" w16cid:durableId="731973819">
    <w:abstractNumId w:val="23"/>
  </w:num>
  <w:num w:numId="5" w16cid:durableId="695810416">
    <w:abstractNumId w:val="25"/>
  </w:num>
  <w:num w:numId="6" w16cid:durableId="1032002953">
    <w:abstractNumId w:val="0"/>
  </w:num>
  <w:num w:numId="7" w16cid:durableId="403918209">
    <w:abstractNumId w:val="3"/>
  </w:num>
  <w:num w:numId="8" w16cid:durableId="591357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320536">
    <w:abstractNumId w:val="31"/>
  </w:num>
  <w:num w:numId="10" w16cid:durableId="18997806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588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516902">
    <w:abstractNumId w:val="27"/>
  </w:num>
  <w:num w:numId="13" w16cid:durableId="1599946012">
    <w:abstractNumId w:val="30"/>
  </w:num>
  <w:num w:numId="14" w16cid:durableId="2097049100">
    <w:abstractNumId w:val="22"/>
  </w:num>
  <w:num w:numId="15" w16cid:durableId="99834230">
    <w:abstractNumId w:val="10"/>
  </w:num>
  <w:num w:numId="16" w16cid:durableId="1334726481">
    <w:abstractNumId w:val="1"/>
  </w:num>
  <w:num w:numId="17" w16cid:durableId="1011952318">
    <w:abstractNumId w:val="14"/>
  </w:num>
  <w:num w:numId="18" w16cid:durableId="26878911">
    <w:abstractNumId w:val="15"/>
  </w:num>
  <w:num w:numId="19" w16cid:durableId="886836392">
    <w:abstractNumId w:val="17"/>
  </w:num>
  <w:num w:numId="20" w16cid:durableId="1648510040">
    <w:abstractNumId w:val="26"/>
  </w:num>
  <w:num w:numId="21" w16cid:durableId="1549490273">
    <w:abstractNumId w:val="36"/>
  </w:num>
  <w:num w:numId="22" w16cid:durableId="1002048076">
    <w:abstractNumId w:val="24"/>
  </w:num>
  <w:num w:numId="23" w16cid:durableId="700129917">
    <w:abstractNumId w:val="9"/>
  </w:num>
  <w:num w:numId="24" w16cid:durableId="939727557">
    <w:abstractNumId w:val="29"/>
  </w:num>
  <w:num w:numId="25" w16cid:durableId="1268538965">
    <w:abstractNumId w:val="28"/>
  </w:num>
  <w:num w:numId="26" w16cid:durableId="922685096">
    <w:abstractNumId w:val="19"/>
  </w:num>
  <w:num w:numId="27" w16cid:durableId="2114937693">
    <w:abstractNumId w:val="32"/>
  </w:num>
  <w:num w:numId="28" w16cid:durableId="137262929">
    <w:abstractNumId w:val="38"/>
  </w:num>
  <w:num w:numId="29" w16cid:durableId="802384660">
    <w:abstractNumId w:val="7"/>
  </w:num>
  <w:num w:numId="30" w16cid:durableId="1296792556">
    <w:abstractNumId w:val="2"/>
  </w:num>
  <w:num w:numId="31" w16cid:durableId="213153334">
    <w:abstractNumId w:val="21"/>
  </w:num>
  <w:num w:numId="32" w16cid:durableId="668945648">
    <w:abstractNumId w:val="20"/>
  </w:num>
  <w:num w:numId="33" w16cid:durableId="2042129190">
    <w:abstractNumId w:val="34"/>
  </w:num>
  <w:num w:numId="34" w16cid:durableId="1549612018">
    <w:abstractNumId w:val="33"/>
  </w:num>
  <w:num w:numId="35" w16cid:durableId="126823500">
    <w:abstractNumId w:val="4"/>
  </w:num>
  <w:num w:numId="36" w16cid:durableId="1222450106">
    <w:abstractNumId w:val="35"/>
  </w:num>
  <w:num w:numId="37" w16cid:durableId="2141068120">
    <w:abstractNumId w:val="20"/>
    <w:lvlOverride w:ilvl="0">
      <w:startOverride w:val="1"/>
    </w:lvlOverride>
  </w:num>
  <w:num w:numId="38" w16cid:durableId="1696076494">
    <w:abstractNumId w:val="20"/>
  </w:num>
  <w:num w:numId="39" w16cid:durableId="806437510">
    <w:abstractNumId w:val="12"/>
  </w:num>
  <w:num w:numId="40" w16cid:durableId="1313412342">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ADF"/>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28C9"/>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cf01">
    <w:name w:val="cf01"/>
    <w:basedOn w:val="DefaultParagraphFont"/>
    <w:rsid w:val="003C1ADF"/>
    <w:rPr>
      <w:rFonts w:ascii="Segoe UI" w:hAnsi="Segoe UI" w:cs="Segoe UI" w:hint="default"/>
      <w:color w:val="11111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dsw-info.de/presse/pressemitteilungen-2022/anlageberatung-zu-nachhaltigen-produkteninvestoren-zurueckhaltend-wenig-klarheit-in-den-vorgabe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sites/default/files/2023-01/esma22-106-4384_smsg_advice_on_greenwash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3594</Words>
  <Characters>20488</Characters>
  <Application>Microsoft Office Word</Application>
  <DocSecurity>8</DocSecurity>
  <Lines>170</Lines>
  <Paragraphs>48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24034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Mariyan Nikolov</cp:lastModifiedBy>
  <cp:revision>3</cp:revision>
  <cp:lastPrinted>2015-02-18T11:01:00Z</cp:lastPrinted>
  <dcterms:created xsi:type="dcterms:W3CDTF">2022-11-18T13:50:00Z</dcterms:created>
  <dcterms:modified xsi:type="dcterms:W3CDTF">2023-02-20T19:06:00Z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