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depag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Lienhypertexte"/>
        </w:rPr>
        <w:t>www.esma.europa.eu</w:t>
      </w:r>
      <w:r w:rsidR="0066246A">
        <w:rPr>
          <w:rStyle w:val="Lienhypertext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Lienhypertext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re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edelespacerserv"/>
              <w:rFonts w:cs="Arial"/>
            </w:rPr>
            <w:id w:val="651570699"/>
            <w:text/>
          </w:sdtPr>
          <w:sdtContent>
            <w:tc>
              <w:tcPr>
                <w:tcW w:w="5595" w:type="dxa"/>
                <w:shd w:val="clear" w:color="auto" w:fill="auto"/>
              </w:tcPr>
              <w:p w14:paraId="7A68491E" w14:textId="6E2955AA" w:rsidR="00C2682A" w:rsidRPr="00AB6D88" w:rsidRDefault="00452809" w:rsidP="00FA5524">
                <w:pPr>
                  <w:rPr>
                    <w:rStyle w:val="Textedelespacerserv"/>
                    <w:rFonts w:cs="Arial"/>
                  </w:rPr>
                </w:pPr>
                <w:r>
                  <w:rPr>
                    <w:rStyle w:val="Textedelespacerserv"/>
                    <w:rFonts w:cs="Arial"/>
                  </w:rPr>
                  <w:t>WeeFin</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E7E6638"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452809">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227BDFAF" w:rsidR="00C2682A" w:rsidRPr="00AB6D88" w:rsidRDefault="00452809" w:rsidP="00FA5524">
                <w:pPr>
                  <w:rPr>
                    <w:rFonts w:cs="Arial"/>
                  </w:rPr>
                </w:pPr>
                <w:r>
                  <w:rPr>
                    <w:rFonts w:cs="Arial"/>
                  </w:rPr>
                  <w:t>France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re1"/>
        <w:numPr>
          <w:ilvl w:val="0"/>
          <w:numId w:val="0"/>
        </w:numPr>
        <w:ind w:left="431" w:hanging="431"/>
      </w:pPr>
      <w:r>
        <w:t>Introduction</w:t>
      </w:r>
    </w:p>
    <w:p w14:paraId="0A354328" w14:textId="77777777" w:rsidR="00F87897" w:rsidRPr="001D47A5" w:rsidRDefault="00F87897" w:rsidP="00F87897">
      <w:pPr>
        <w:rPr>
          <w:rStyle w:val="Accentuationintense"/>
        </w:rPr>
      </w:pPr>
      <w:r w:rsidRPr="001D47A5">
        <w:rPr>
          <w:rStyle w:val="Accentuationintense"/>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2E57D18" w14:textId="77777777" w:rsidR="00452809" w:rsidRPr="00452809" w:rsidRDefault="00452809" w:rsidP="00452809">
      <w:pPr>
        <w:pStyle w:val="NormalWeb"/>
        <w:spacing w:before="0" w:beforeAutospacing="0" w:after="160" w:afterAutospacing="0"/>
        <w:jc w:val="both"/>
        <w:rPr>
          <w:lang w:val="en-US"/>
        </w:rPr>
      </w:pPr>
      <w:permStart w:id="1100430741" w:edGrp="everyone"/>
      <w:r w:rsidRPr="00452809">
        <w:rPr>
          <w:rFonts w:ascii="Arial" w:hAnsi="Arial" w:cs="Arial"/>
          <w:color w:val="000000"/>
          <w:sz w:val="20"/>
          <w:szCs w:val="20"/>
          <w:lang w:val="en-US"/>
        </w:rPr>
        <w:t xml:space="preserve">Created in 2018, WeeFin aims to </w:t>
      </w:r>
      <w:proofErr w:type="spellStart"/>
      <w:r w:rsidRPr="00452809">
        <w:rPr>
          <w:rFonts w:ascii="Arial" w:hAnsi="Arial" w:cs="Arial"/>
          <w:color w:val="000000"/>
          <w:sz w:val="20"/>
          <w:szCs w:val="20"/>
          <w:lang w:val="en-US"/>
        </w:rPr>
        <w:t>democratise</w:t>
      </w:r>
      <w:proofErr w:type="spellEnd"/>
      <w:r w:rsidRPr="00452809">
        <w:rPr>
          <w:rFonts w:ascii="Arial" w:hAnsi="Arial" w:cs="Arial"/>
          <w:color w:val="000000"/>
          <w:sz w:val="20"/>
          <w:szCs w:val="20"/>
          <w:lang w:val="en-US"/>
        </w:rPr>
        <w:t xml:space="preserve"> sustainable finance by helping professional investors (AM, AO, Wealth Manager, Asset Servicer...) to create more ambitious ESG strategies and by fighting against greenwashing. In that order, WeeFin offers a platform 100% dedicated to ESG that allows investors to manage their ESG processes : centralize all sustainability data, create their own ESG scores and produce ESG </w:t>
      </w:r>
      <w:proofErr w:type="spellStart"/>
      <w:r w:rsidRPr="00452809">
        <w:rPr>
          <w:rFonts w:ascii="Arial" w:hAnsi="Arial" w:cs="Arial"/>
          <w:color w:val="000000"/>
          <w:sz w:val="20"/>
          <w:szCs w:val="20"/>
          <w:lang w:val="en-US"/>
        </w:rPr>
        <w:t>reportings</w:t>
      </w:r>
      <w:proofErr w:type="spellEnd"/>
      <w:r w:rsidRPr="00452809">
        <w:rPr>
          <w:rFonts w:ascii="Arial" w:hAnsi="Arial" w:cs="Arial"/>
          <w:color w:val="000000"/>
          <w:sz w:val="20"/>
          <w:szCs w:val="20"/>
          <w:lang w:val="en-US"/>
        </w:rPr>
        <w:t>. As sustainability is at the heart of our strategic ambition, we want to respond to this public consultation and share our feedbacks.</w:t>
      </w:r>
    </w:p>
    <w:p w14:paraId="38FCAEE7" w14:textId="77777777" w:rsidR="00452809" w:rsidRPr="00452809" w:rsidRDefault="00452809" w:rsidP="00452809">
      <w:pPr>
        <w:pStyle w:val="NormalWeb"/>
        <w:spacing w:before="0" w:beforeAutospacing="0" w:after="160" w:afterAutospacing="0"/>
        <w:jc w:val="both"/>
        <w:rPr>
          <w:lang w:val="en-US"/>
        </w:rPr>
      </w:pPr>
      <w:r w:rsidRPr="00452809">
        <w:rPr>
          <w:rFonts w:ascii="Arial" w:hAnsi="Arial" w:cs="Arial"/>
          <w:color w:val="000000"/>
          <w:sz w:val="20"/>
          <w:szCs w:val="20"/>
          <w:lang w:val="en-US"/>
        </w:rPr>
        <w:t>WeeFin advocates encouraging financial actors to invest in a more sustainable way and to contribute to the just transition. However, as there is no single method for integrating sustainability into investment strategies; It is essential that each actor can develop its own with complete transparency.</w:t>
      </w:r>
    </w:p>
    <w:p w14:paraId="50CE9BB3" w14:textId="77777777" w:rsidR="00452809" w:rsidRPr="00452809" w:rsidRDefault="00452809" w:rsidP="00452809">
      <w:pPr>
        <w:pStyle w:val="NormalWeb"/>
        <w:spacing w:before="0" w:beforeAutospacing="0" w:after="160" w:afterAutospacing="0"/>
        <w:jc w:val="both"/>
        <w:rPr>
          <w:lang w:val="en-US"/>
        </w:rPr>
      </w:pPr>
      <w:r w:rsidRPr="00452809">
        <w:rPr>
          <w:rFonts w:ascii="Arial" w:hAnsi="Arial" w:cs="Arial"/>
          <w:color w:val="000000"/>
          <w:sz w:val="20"/>
          <w:szCs w:val="20"/>
          <w:lang w:val="en-US"/>
        </w:rPr>
        <w:t>In our view, transparency is an essential means to fight against "greenwashing" practices. For transparency to be effective, it is important that European regulators intensify their efforts to raise awareness and provide pedagogy to financial actors regarding sustainability issues. By sharing best practices and providing a better understanding of regulatory requirements, this will help to avoid subjective interpretations or misleading communications. Indeed, the current regulatory framework is often perceived as too theoretical, which can lead to confusion among financial actors.</w:t>
      </w:r>
    </w:p>
    <w:p w14:paraId="21381352" w14:textId="77777777" w:rsidR="00452809" w:rsidRPr="00452809" w:rsidRDefault="00452809" w:rsidP="00452809">
      <w:pPr>
        <w:pStyle w:val="NormalWeb"/>
        <w:spacing w:before="0" w:beforeAutospacing="0" w:after="160" w:afterAutospacing="0"/>
        <w:jc w:val="both"/>
        <w:rPr>
          <w:lang w:val="en-US"/>
        </w:rPr>
      </w:pPr>
      <w:r w:rsidRPr="00452809">
        <w:rPr>
          <w:rFonts w:ascii="Arial" w:hAnsi="Arial" w:cs="Arial"/>
          <w:color w:val="000000"/>
          <w:sz w:val="20"/>
          <w:szCs w:val="20"/>
          <w:lang w:val="en-US"/>
        </w:rPr>
        <w:t>Nevertheless, it should be emphasized that sustainability cannot be considered a homogeneous and standardized concept . Financial actors must be allowed to develop custom strategies based on their own context and vision of sustainability. However, it is essential to ensure that minimum requirements are met to avoid certain contradictions, such as a "climate" fund investing in polluting companies.</w:t>
      </w:r>
    </w:p>
    <w:p w14:paraId="7F49FCD6" w14:textId="77777777" w:rsidR="00452809" w:rsidRPr="00452809" w:rsidRDefault="00452809" w:rsidP="00452809">
      <w:pPr>
        <w:pStyle w:val="NormalWeb"/>
        <w:spacing w:before="0" w:beforeAutospacing="0" w:after="160" w:afterAutospacing="0"/>
        <w:jc w:val="both"/>
        <w:rPr>
          <w:lang w:val="en-US"/>
        </w:rPr>
      </w:pPr>
      <w:r w:rsidRPr="00452809">
        <w:rPr>
          <w:rFonts w:ascii="Arial" w:hAnsi="Arial" w:cs="Arial"/>
          <w:color w:val="000000"/>
          <w:sz w:val="20"/>
          <w:szCs w:val="20"/>
          <w:lang w:val="en-US"/>
        </w:rPr>
        <w:t xml:space="preserve">It is also important to capitalize on the existing regulatory framework, which has already been adopted by the financial industry </w:t>
      </w:r>
      <w:proofErr w:type="spellStart"/>
      <w:r w:rsidRPr="00452809">
        <w:rPr>
          <w:rFonts w:ascii="Arial" w:hAnsi="Arial" w:cs="Arial"/>
          <w:color w:val="000000"/>
          <w:sz w:val="20"/>
          <w:szCs w:val="20"/>
          <w:lang w:val="en-US"/>
        </w:rPr>
        <w:t>actors.In</w:t>
      </w:r>
      <w:proofErr w:type="spellEnd"/>
      <w:r w:rsidRPr="00452809">
        <w:rPr>
          <w:rFonts w:ascii="Arial" w:hAnsi="Arial" w:cs="Arial"/>
          <w:color w:val="000000"/>
          <w:sz w:val="20"/>
          <w:szCs w:val="20"/>
          <w:lang w:val="en-US"/>
        </w:rPr>
        <w:t xml:space="preserve"> this regard, we believe that adding new requirements as quantitative or qualitative thresholds that are disconnected from existing ones could be counterproductive and generate more confusion. Indeed, we identified multiple difficulties for professional investors to understand and coordinate the implementation of European and national regulations related to sustainable finance</w:t>
      </w:r>
    </w:p>
    <w:p w14:paraId="5475ABF5" w14:textId="77777777" w:rsidR="00452809" w:rsidRPr="00452809" w:rsidRDefault="00452809" w:rsidP="00452809">
      <w:pPr>
        <w:pStyle w:val="NormalWeb"/>
        <w:spacing w:before="0" w:beforeAutospacing="0" w:after="160" w:afterAutospacing="0"/>
        <w:jc w:val="both"/>
        <w:rPr>
          <w:lang w:val="en-US"/>
        </w:rPr>
      </w:pPr>
      <w:r w:rsidRPr="00452809">
        <w:rPr>
          <w:rFonts w:ascii="Arial" w:hAnsi="Arial" w:cs="Arial"/>
          <w:color w:val="000000"/>
          <w:sz w:val="20"/>
          <w:szCs w:val="20"/>
          <w:lang w:val="en-US"/>
        </w:rPr>
        <w:t>In this regard, in order to mitigate greenwashing risks, WeeFin believes that this must be done through these two main axes:</w:t>
      </w:r>
    </w:p>
    <w:p w14:paraId="4152A68D" w14:textId="77777777" w:rsidR="00452809" w:rsidRPr="00452809" w:rsidRDefault="00452809" w:rsidP="00452809">
      <w:pPr>
        <w:pStyle w:val="NormalWeb"/>
        <w:numPr>
          <w:ilvl w:val="0"/>
          <w:numId w:val="41"/>
        </w:numPr>
        <w:spacing w:before="0" w:beforeAutospacing="0" w:after="0" w:afterAutospacing="0"/>
        <w:jc w:val="both"/>
        <w:textAlignment w:val="baseline"/>
        <w:rPr>
          <w:rFonts w:ascii="Arial" w:hAnsi="Arial" w:cs="Arial"/>
          <w:color w:val="000000"/>
          <w:sz w:val="20"/>
          <w:szCs w:val="20"/>
          <w:lang w:val="en-US"/>
        </w:rPr>
      </w:pPr>
      <w:r w:rsidRPr="00452809">
        <w:rPr>
          <w:rFonts w:ascii="Arial" w:hAnsi="Arial" w:cs="Arial"/>
          <w:color w:val="000000"/>
          <w:sz w:val="20"/>
          <w:szCs w:val="20"/>
          <w:lang w:val="en-US"/>
        </w:rPr>
        <w:t>improving the transparency of the investment process in order to promote the quality of information to final investors;</w:t>
      </w:r>
    </w:p>
    <w:p w14:paraId="1ACC532E" w14:textId="77777777" w:rsidR="00452809" w:rsidRPr="00452809" w:rsidRDefault="00452809" w:rsidP="00452809">
      <w:pPr>
        <w:pStyle w:val="NormalWeb"/>
        <w:numPr>
          <w:ilvl w:val="0"/>
          <w:numId w:val="41"/>
        </w:numPr>
        <w:spacing w:before="0" w:beforeAutospacing="0" w:after="160" w:afterAutospacing="0"/>
        <w:jc w:val="both"/>
        <w:textAlignment w:val="baseline"/>
        <w:rPr>
          <w:rFonts w:ascii="Arial" w:hAnsi="Arial" w:cs="Arial"/>
          <w:color w:val="000000"/>
          <w:sz w:val="20"/>
          <w:szCs w:val="20"/>
          <w:lang w:val="en-US"/>
        </w:rPr>
      </w:pPr>
      <w:r w:rsidRPr="00452809">
        <w:rPr>
          <w:rFonts w:ascii="Arial" w:hAnsi="Arial" w:cs="Arial"/>
          <w:color w:val="000000"/>
          <w:sz w:val="20"/>
          <w:szCs w:val="20"/>
          <w:lang w:val="en-US"/>
        </w:rPr>
        <w:t>providing greater pedagogy and assistance to financial actors can facilitate the operational implementation of regulatory requirements that, as of now, can be considered as overly theoretical</w:t>
      </w:r>
    </w:p>
    <w:p w14:paraId="2B9FCB07" w14:textId="77777777" w:rsidR="00452809" w:rsidRPr="00452809" w:rsidRDefault="00452809" w:rsidP="00452809">
      <w:pPr>
        <w:pStyle w:val="NormalWeb"/>
        <w:spacing w:before="0" w:beforeAutospacing="0" w:after="160" w:afterAutospacing="0"/>
        <w:jc w:val="both"/>
        <w:rPr>
          <w:lang w:val="en-US"/>
        </w:rPr>
      </w:pPr>
      <w:r w:rsidRPr="00452809">
        <w:rPr>
          <w:rFonts w:ascii="Arial" w:hAnsi="Arial" w:cs="Arial"/>
          <w:color w:val="000000"/>
          <w:sz w:val="20"/>
          <w:szCs w:val="20"/>
          <w:lang w:val="en-US"/>
        </w:rPr>
        <w:t>We believe that the introduction of fund naming requirements could be a useful tool in the response to greenwashing, on condition that they build on the existing regulatory framework that is already incorporated by market participants, including European and national regulations and labels.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2399E1C2" w14:textId="77777777" w:rsidR="00452809" w:rsidRPr="00452809" w:rsidRDefault="00452809" w:rsidP="00452809">
      <w:pPr>
        <w:jc w:val="both"/>
        <w:rPr>
          <w:rFonts w:ascii="Times New Roman" w:hAnsi="Times New Roman"/>
          <w:sz w:val="24"/>
          <w:lang w:val="en-US" w:eastAsia="fr-FR"/>
        </w:rPr>
      </w:pPr>
      <w:permStart w:id="1596738700" w:edGrp="everyone"/>
      <w:r w:rsidRPr="00452809">
        <w:rPr>
          <w:rFonts w:cs="Arial"/>
          <w:color w:val="000000"/>
          <w:szCs w:val="20"/>
          <w:lang w:val="en-US" w:eastAsia="fr-FR"/>
        </w:rPr>
        <w:t>We do not agree with the need to introduce new quantitative thresholds to assess funds’ names as we consider them as additional indicators unlinked to an existing framework (SFDR, EU Taxonomy) that already constitutes a proper basis. Nevertheless, this latter needs to be reinforced in order to (</w:t>
      </w:r>
      <w:proofErr w:type="spellStart"/>
      <w:r w:rsidRPr="00452809">
        <w:rPr>
          <w:rFonts w:cs="Arial"/>
          <w:color w:val="000000"/>
          <w:szCs w:val="20"/>
          <w:lang w:val="en-US" w:eastAsia="fr-FR"/>
        </w:rPr>
        <w:t>i</w:t>
      </w:r>
      <w:proofErr w:type="spellEnd"/>
      <w:r w:rsidRPr="00452809">
        <w:rPr>
          <w:rFonts w:cs="Arial"/>
          <w:color w:val="000000"/>
          <w:szCs w:val="20"/>
          <w:lang w:val="en-US" w:eastAsia="fr-FR"/>
        </w:rPr>
        <w:t>) limit greenwashing and (ii) facilitate comparison</w:t>
      </w:r>
      <w:r w:rsidRPr="00452809">
        <w:rPr>
          <w:rFonts w:cs="Arial"/>
          <w:b/>
          <w:bCs/>
          <w:color w:val="000000"/>
          <w:szCs w:val="20"/>
          <w:lang w:val="en-US" w:eastAsia="fr-FR"/>
        </w:rPr>
        <w:t xml:space="preserve"> </w:t>
      </w:r>
      <w:r w:rsidRPr="00452809">
        <w:rPr>
          <w:rFonts w:cs="Arial"/>
          <w:color w:val="000000"/>
          <w:szCs w:val="20"/>
          <w:lang w:val="en-US" w:eastAsia="fr-FR"/>
        </w:rPr>
        <w:t>of ESG funds.  </w:t>
      </w:r>
    </w:p>
    <w:p w14:paraId="6176965B" w14:textId="77777777" w:rsidR="00452809" w:rsidRPr="00452809" w:rsidRDefault="00452809" w:rsidP="00452809">
      <w:pPr>
        <w:rPr>
          <w:rFonts w:ascii="Times New Roman" w:hAnsi="Times New Roman"/>
          <w:sz w:val="24"/>
          <w:lang w:val="en-US" w:eastAsia="fr-FR"/>
        </w:rPr>
      </w:pPr>
    </w:p>
    <w:p w14:paraId="1D731AD2"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As of now, there is no connection between European, national and label requirements. These multiple standards lead to operational difficulties for market participants and misunderstanding for final investors.</w:t>
      </w:r>
    </w:p>
    <w:p w14:paraId="63D8A422" w14:textId="77777777" w:rsidR="00452809" w:rsidRPr="00452809" w:rsidRDefault="00452809" w:rsidP="00452809">
      <w:pPr>
        <w:rPr>
          <w:rFonts w:ascii="Times New Roman" w:hAnsi="Times New Roman"/>
          <w:sz w:val="24"/>
          <w:lang w:val="en-US" w:eastAsia="fr-FR"/>
        </w:rPr>
      </w:pPr>
    </w:p>
    <w:p w14:paraId="091D8EE3"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 xml:space="preserve">In that context, we consider that implementing new guidelines that are uncorrelated to existing requirements, would create an additional way to </w:t>
      </w:r>
      <w:proofErr w:type="spellStart"/>
      <w:r w:rsidRPr="00452809">
        <w:rPr>
          <w:rFonts w:cs="Arial"/>
          <w:color w:val="000000"/>
          <w:szCs w:val="20"/>
          <w:lang w:val="en-US" w:eastAsia="fr-FR"/>
        </w:rPr>
        <w:t>categorise</w:t>
      </w:r>
      <w:proofErr w:type="spellEnd"/>
      <w:r w:rsidRPr="00452809">
        <w:rPr>
          <w:rFonts w:cs="Arial"/>
          <w:color w:val="000000"/>
          <w:szCs w:val="20"/>
          <w:lang w:val="en-US" w:eastAsia="fr-FR"/>
        </w:rPr>
        <w:t xml:space="preserve"> portfolios and at the same time, would add another layer of complexity. Indeed, the SFDR classifications are not sufficient and need to be further clarified and strengthened. </w:t>
      </w:r>
    </w:p>
    <w:p w14:paraId="4DFF4878" w14:textId="77777777" w:rsidR="00452809" w:rsidRPr="00452809" w:rsidRDefault="00452809" w:rsidP="00452809">
      <w:pPr>
        <w:rPr>
          <w:rFonts w:ascii="Times New Roman" w:hAnsi="Times New Roman"/>
          <w:sz w:val="24"/>
          <w:lang w:val="en-US" w:eastAsia="fr-FR"/>
        </w:rPr>
      </w:pPr>
    </w:p>
    <w:p w14:paraId="558C11AA"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We would recommend reinforcing and converging existing guidelines by (</w:t>
      </w:r>
      <w:proofErr w:type="spellStart"/>
      <w:r w:rsidRPr="00452809">
        <w:rPr>
          <w:rFonts w:cs="Arial"/>
          <w:color w:val="000000"/>
          <w:szCs w:val="20"/>
          <w:lang w:val="en-US" w:eastAsia="fr-FR"/>
        </w:rPr>
        <w:t>i</w:t>
      </w:r>
      <w:proofErr w:type="spellEnd"/>
      <w:r w:rsidRPr="00452809">
        <w:rPr>
          <w:rFonts w:cs="Arial"/>
          <w:color w:val="000000"/>
          <w:szCs w:val="20"/>
          <w:lang w:val="en-US" w:eastAsia="fr-FR"/>
        </w:rPr>
        <w:t>) introducing quantitative and qualitative thresholds for Article 8 and 9 classification and (ii) associating these classifications with requirements on funds’ names. </w:t>
      </w:r>
    </w:p>
    <w:p w14:paraId="798E7A13" w14:textId="77777777" w:rsidR="00452809" w:rsidRPr="00452809" w:rsidRDefault="00452809" w:rsidP="00452809">
      <w:pPr>
        <w:rPr>
          <w:rFonts w:ascii="Times New Roman" w:hAnsi="Times New Roman"/>
          <w:sz w:val="24"/>
          <w:lang w:val="en-US" w:eastAsia="fr-FR"/>
        </w:rPr>
      </w:pPr>
    </w:p>
    <w:p w14:paraId="69EE2A81"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To be noted that we consider quantitative thresholds are insufficient to assess the consistency of an ESG strategy and the sustainable investment definition used by the professional investors. Furthermore, we would recommend extending such quantitative thresholds to other specific ESG-terms (i.e. ‘biodiversity’, ‘transition’, ‘impact’, etc.).</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3AB35A0C" w14:textId="77777777" w:rsidR="00452809" w:rsidRPr="00452809" w:rsidRDefault="00452809" w:rsidP="00452809">
      <w:pPr>
        <w:jc w:val="both"/>
        <w:rPr>
          <w:rFonts w:ascii="Times New Roman" w:hAnsi="Times New Roman"/>
          <w:sz w:val="24"/>
          <w:lang w:val="en-US" w:eastAsia="fr-FR"/>
        </w:rPr>
      </w:pPr>
      <w:permStart w:id="1305634831" w:edGrp="everyone"/>
      <w:r w:rsidRPr="00452809">
        <w:rPr>
          <w:rFonts w:cs="Arial"/>
          <w:color w:val="000000"/>
          <w:szCs w:val="20"/>
          <w:lang w:val="en-US" w:eastAsia="fr-FR"/>
        </w:rPr>
        <w:t>We do not agree with the proposed threshold of 80% of the minimum proportion of investments for the use of any ESG-, or impact-related words in the name of a fund. </w:t>
      </w:r>
    </w:p>
    <w:p w14:paraId="0D924086" w14:textId="77777777" w:rsidR="00452809" w:rsidRPr="00452809" w:rsidRDefault="00452809" w:rsidP="00452809">
      <w:pPr>
        <w:rPr>
          <w:rFonts w:ascii="Times New Roman" w:hAnsi="Times New Roman"/>
          <w:sz w:val="24"/>
          <w:lang w:val="en-US" w:eastAsia="fr-FR"/>
        </w:rPr>
      </w:pPr>
    </w:p>
    <w:p w14:paraId="3EC21711"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As mentioned in Q1, we would recommend to (</w:t>
      </w:r>
      <w:proofErr w:type="spellStart"/>
      <w:r w:rsidRPr="00452809">
        <w:rPr>
          <w:rFonts w:cs="Arial"/>
          <w:color w:val="000000"/>
          <w:szCs w:val="20"/>
          <w:lang w:val="en-US" w:eastAsia="fr-FR"/>
        </w:rPr>
        <w:t>i</w:t>
      </w:r>
      <w:proofErr w:type="spellEnd"/>
      <w:r w:rsidRPr="00452809">
        <w:rPr>
          <w:rFonts w:cs="Arial"/>
          <w:color w:val="000000"/>
          <w:szCs w:val="20"/>
          <w:lang w:val="en-US" w:eastAsia="fr-FR"/>
        </w:rPr>
        <w:t>) incorporate such thresholds directly in the existing regulatory framework (i.e. reinforcing requirements for Article 8 classification) and then to (ii) increase this threshold to 100% of eligible investments (cash and hedging instruments excluded).</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18C6EF3E" w14:textId="77777777" w:rsidR="00452809" w:rsidRPr="00452809" w:rsidRDefault="00452809" w:rsidP="00452809">
      <w:pPr>
        <w:jc w:val="both"/>
        <w:rPr>
          <w:rFonts w:ascii="Times New Roman" w:hAnsi="Times New Roman"/>
          <w:sz w:val="24"/>
          <w:lang w:val="en-US" w:eastAsia="fr-FR"/>
        </w:rPr>
      </w:pPr>
      <w:permStart w:id="347949177" w:edGrp="everyone"/>
      <w:r w:rsidRPr="00452809">
        <w:rPr>
          <w:rFonts w:cs="Arial"/>
          <w:color w:val="000000"/>
          <w:szCs w:val="20"/>
          <w:lang w:val="en-US" w:eastAsia="fr-FR"/>
        </w:rPr>
        <w:t xml:space="preserve">We do not agree to include an </w:t>
      </w:r>
      <w:r w:rsidRPr="00452809">
        <w:rPr>
          <w:rFonts w:cs="Arial"/>
          <w:color w:val="000000"/>
          <w:szCs w:val="20"/>
          <w:shd w:val="clear" w:color="auto" w:fill="FFFFFF"/>
          <w:lang w:val="en-US" w:eastAsia="fr-FR"/>
        </w:rPr>
        <w:t>additional threshold</w:t>
      </w:r>
      <w:r w:rsidRPr="00452809">
        <w:rPr>
          <w:rFonts w:cs="Arial"/>
          <w:color w:val="000000"/>
          <w:szCs w:val="20"/>
          <w:lang w:val="en-US" w:eastAsia="fr-FR"/>
        </w:rPr>
        <w:t xml:space="preserve"> of at least 50% of the minimum proportion of sustainable investments for the use of the word “sustainable” or any other sustainability-related term in the name of the fund.</w:t>
      </w:r>
    </w:p>
    <w:p w14:paraId="22D4E827" w14:textId="77777777" w:rsidR="00452809" w:rsidRPr="00452809" w:rsidRDefault="00452809" w:rsidP="00452809">
      <w:pPr>
        <w:rPr>
          <w:rFonts w:ascii="Times New Roman" w:hAnsi="Times New Roman"/>
          <w:sz w:val="24"/>
          <w:lang w:val="en-US" w:eastAsia="fr-FR"/>
        </w:rPr>
      </w:pPr>
    </w:p>
    <w:p w14:paraId="5CDAF6B5"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Firstly, as mentioned in Q2, such requirements should be directly incorporated into the existing regulations. Furthermore, as of now, we do not consider SFDR guidelines regarding Article 9 SFDR sufficiently clear to take a stance on such a threshold. Notably:</w:t>
      </w:r>
    </w:p>
    <w:p w14:paraId="57377616"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lastRenderedPageBreak/>
        <w:t>(</w:t>
      </w:r>
      <w:proofErr w:type="spellStart"/>
      <w:r w:rsidRPr="00452809">
        <w:rPr>
          <w:rFonts w:cs="Arial"/>
          <w:color w:val="000000"/>
          <w:szCs w:val="20"/>
          <w:lang w:val="en-US" w:eastAsia="fr-FR"/>
        </w:rPr>
        <w:t>i</w:t>
      </w:r>
      <w:proofErr w:type="spellEnd"/>
      <w:r w:rsidRPr="00452809">
        <w:rPr>
          <w:rFonts w:cs="Arial"/>
          <w:color w:val="000000"/>
          <w:szCs w:val="20"/>
          <w:lang w:val="en-US" w:eastAsia="fr-FR"/>
        </w:rPr>
        <w:t>) The definition of sustainable investment needs to be supervised in a stricter manner with dedicated guidelines. Indeed, we observe that methodologies to define and identify sustainable investment among professional investors are heterogeneous and thus the degree of ambition applied to the qualification of a sustainable investment highly varies. Thus, the percentage of sustainable investments is not representative of the level of restriction applied by investors.</w:t>
      </w:r>
    </w:p>
    <w:p w14:paraId="05BA1F42" w14:textId="77777777" w:rsidR="00452809" w:rsidRPr="00452809" w:rsidRDefault="00452809" w:rsidP="00452809">
      <w:pPr>
        <w:jc w:val="both"/>
        <w:rPr>
          <w:rFonts w:ascii="Times New Roman" w:hAnsi="Times New Roman"/>
          <w:sz w:val="24"/>
          <w:lang w:val="en-US" w:eastAsia="fr-FR"/>
        </w:rPr>
      </w:pPr>
      <w:r w:rsidRPr="00452809">
        <w:rPr>
          <w:rFonts w:cs="Arial"/>
          <w:color w:val="000000"/>
          <w:szCs w:val="20"/>
          <w:lang w:val="en-US" w:eastAsia="fr-FR"/>
        </w:rPr>
        <w:t>(ii) The difference between ESG- and sustainable-related names are insufficiently clear. Notably,  some words that are classified as “ESG-related” could be considered as impacting as sustainability-related terms and attract investors in the same proportions (e.g. ‘climate change’, ‘biodiversity’). We propose to review what falls under the category of sustainable investment by also allowing “transitioning” and “impact strategies” to be included.</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79BA0248" w14:textId="77777777" w:rsidR="00452809" w:rsidRPr="00452809" w:rsidRDefault="00452809" w:rsidP="00452809">
      <w:pPr>
        <w:pStyle w:val="NormalWeb"/>
        <w:spacing w:before="0" w:beforeAutospacing="0" w:after="0" w:afterAutospacing="0"/>
        <w:jc w:val="both"/>
        <w:rPr>
          <w:lang w:val="en-US"/>
        </w:rPr>
      </w:pPr>
      <w:permStart w:id="351877901" w:edGrp="everyone"/>
      <w:r w:rsidRPr="00452809">
        <w:rPr>
          <w:rFonts w:ascii="Arial" w:hAnsi="Arial" w:cs="Arial"/>
          <w:color w:val="000000"/>
          <w:sz w:val="20"/>
          <w:szCs w:val="20"/>
          <w:lang w:val="en-US"/>
        </w:rPr>
        <w:t>As mentioned in Q2 and Q3, we consider that these thresholds should be harmonized with the existing regulatory framework in order to avoid creating an additional complexity layer. Financial actors already have to meet threshold requirements (e.g. for Article 9) that are different from those proposed in the public consultation.</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4E70D28C" w14:textId="77777777" w:rsidR="00452809" w:rsidRPr="00452809" w:rsidRDefault="00452809" w:rsidP="00452809">
      <w:pPr>
        <w:pStyle w:val="NormalWeb"/>
        <w:spacing w:before="0" w:beforeAutospacing="0" w:after="0" w:afterAutospacing="0"/>
        <w:jc w:val="both"/>
        <w:rPr>
          <w:lang w:val="en-US"/>
        </w:rPr>
      </w:pPr>
      <w:permStart w:id="1539323392" w:edGrp="everyone"/>
      <w:r w:rsidRPr="00452809">
        <w:rPr>
          <w:rFonts w:ascii="Arial" w:hAnsi="Arial" w:cs="Arial"/>
          <w:color w:val="000000"/>
          <w:sz w:val="20"/>
          <w:szCs w:val="20"/>
          <w:lang w:val="en-US"/>
        </w:rPr>
        <w:t>We propose to capitalize on the current regulatory framework to strengthen the classification of funds such as the use of the taxonomy alignment or the principal adverse impact indicators (PAIs).</w:t>
      </w:r>
    </w:p>
    <w:p w14:paraId="594A35DA" w14:textId="77777777" w:rsidR="00452809" w:rsidRPr="00452809" w:rsidRDefault="00452809" w:rsidP="00452809">
      <w:pPr>
        <w:pStyle w:val="NormalWeb"/>
        <w:spacing w:before="0" w:beforeAutospacing="0" w:after="0" w:afterAutospacing="0"/>
        <w:jc w:val="both"/>
        <w:rPr>
          <w:lang w:val="en-US"/>
        </w:rPr>
      </w:pPr>
      <w:proofErr w:type="spellStart"/>
      <w:r w:rsidRPr="00452809">
        <w:rPr>
          <w:rFonts w:ascii="Arial" w:hAnsi="Arial" w:cs="Arial"/>
          <w:color w:val="000000"/>
          <w:sz w:val="20"/>
          <w:szCs w:val="20"/>
          <w:lang w:val="en-US"/>
        </w:rPr>
        <w:t>Weefin</w:t>
      </w:r>
      <w:proofErr w:type="spellEnd"/>
      <w:r w:rsidRPr="00452809">
        <w:rPr>
          <w:rFonts w:ascii="Arial" w:hAnsi="Arial" w:cs="Arial"/>
          <w:color w:val="000000"/>
          <w:sz w:val="20"/>
          <w:szCs w:val="20"/>
          <w:lang w:val="en-US"/>
        </w:rPr>
        <w:t xml:space="preserve"> recommend the implementation of minimum safeguards, such as : </w:t>
      </w:r>
    </w:p>
    <w:p w14:paraId="0F00C2BE" w14:textId="77777777" w:rsidR="00452809" w:rsidRPr="00452809" w:rsidRDefault="00452809" w:rsidP="00452809">
      <w:pPr>
        <w:pStyle w:val="NormalWeb"/>
        <w:numPr>
          <w:ilvl w:val="0"/>
          <w:numId w:val="42"/>
        </w:numPr>
        <w:spacing w:before="0" w:beforeAutospacing="0" w:after="0" w:afterAutospacing="0"/>
        <w:jc w:val="both"/>
        <w:textAlignment w:val="baseline"/>
        <w:rPr>
          <w:rFonts w:ascii="Arial" w:hAnsi="Arial" w:cs="Arial"/>
          <w:color w:val="000000"/>
          <w:sz w:val="20"/>
          <w:szCs w:val="20"/>
          <w:lang w:val="en-US"/>
        </w:rPr>
      </w:pPr>
      <w:r w:rsidRPr="00452809">
        <w:rPr>
          <w:rFonts w:ascii="Arial" w:hAnsi="Arial" w:cs="Arial"/>
          <w:color w:val="000000"/>
          <w:sz w:val="20"/>
          <w:szCs w:val="20"/>
          <w:lang w:val="en-US"/>
        </w:rPr>
        <w:t>Exclusion policy (such as coal and tobacco)</w:t>
      </w:r>
    </w:p>
    <w:p w14:paraId="2B3B9EA2" w14:textId="77777777" w:rsidR="00452809" w:rsidRDefault="00452809" w:rsidP="00452809">
      <w:pPr>
        <w:pStyle w:val="NormalWeb"/>
        <w:numPr>
          <w:ilvl w:val="0"/>
          <w:numId w:val="42"/>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Minimum </w:t>
      </w:r>
      <w:proofErr w:type="spellStart"/>
      <w:r>
        <w:rPr>
          <w:rFonts w:ascii="Arial" w:hAnsi="Arial" w:cs="Arial"/>
          <w:color w:val="000000"/>
          <w:sz w:val="20"/>
          <w:szCs w:val="20"/>
        </w:rPr>
        <w:t>threshold</w:t>
      </w:r>
      <w:proofErr w:type="spellEnd"/>
      <w:r>
        <w:rPr>
          <w:rFonts w:ascii="Arial" w:hAnsi="Arial" w:cs="Arial"/>
          <w:color w:val="000000"/>
          <w:sz w:val="20"/>
          <w:szCs w:val="20"/>
        </w:rPr>
        <w:t xml:space="preserve"> on:</w:t>
      </w:r>
    </w:p>
    <w:p w14:paraId="29417BC1" w14:textId="77777777" w:rsidR="00452809" w:rsidRPr="00452809" w:rsidRDefault="00452809" w:rsidP="00452809">
      <w:pPr>
        <w:pStyle w:val="NormalWeb"/>
        <w:numPr>
          <w:ilvl w:val="1"/>
          <w:numId w:val="42"/>
        </w:numPr>
        <w:spacing w:before="0" w:beforeAutospacing="0" w:after="0" w:afterAutospacing="0"/>
        <w:jc w:val="both"/>
        <w:textAlignment w:val="baseline"/>
        <w:rPr>
          <w:rFonts w:ascii="Noto Sans Symbols" w:hAnsi="Noto Sans Symbols"/>
          <w:color w:val="000000"/>
          <w:sz w:val="20"/>
          <w:szCs w:val="20"/>
          <w:lang w:val="en-US"/>
        </w:rPr>
      </w:pPr>
      <w:r w:rsidRPr="00452809">
        <w:rPr>
          <w:rFonts w:ascii="Arial" w:hAnsi="Arial" w:cs="Arial"/>
          <w:color w:val="000000"/>
          <w:sz w:val="20"/>
          <w:szCs w:val="20"/>
          <w:lang w:val="en-US"/>
        </w:rPr>
        <w:t xml:space="preserve">taxonomy-aligned investments </w:t>
      </w:r>
      <w:proofErr w:type="spellStart"/>
      <w:r w:rsidRPr="00452809">
        <w:rPr>
          <w:rFonts w:ascii="Arial" w:hAnsi="Arial" w:cs="Arial"/>
          <w:color w:val="000000"/>
          <w:sz w:val="20"/>
          <w:szCs w:val="20"/>
          <w:lang w:val="en-US"/>
        </w:rPr>
        <w:t>combinated</w:t>
      </w:r>
      <w:proofErr w:type="spellEnd"/>
      <w:r w:rsidRPr="00452809">
        <w:rPr>
          <w:rFonts w:ascii="Arial" w:hAnsi="Arial" w:cs="Arial"/>
          <w:color w:val="000000"/>
          <w:sz w:val="20"/>
          <w:szCs w:val="20"/>
          <w:lang w:val="en-US"/>
        </w:rPr>
        <w:t xml:space="preserve"> to a commitment to improve this rate when the data will be consistent;</w:t>
      </w:r>
    </w:p>
    <w:p w14:paraId="503558DB" w14:textId="77777777" w:rsidR="00452809" w:rsidRPr="00452809" w:rsidRDefault="00452809" w:rsidP="00452809">
      <w:pPr>
        <w:pStyle w:val="NormalWeb"/>
        <w:numPr>
          <w:ilvl w:val="1"/>
          <w:numId w:val="42"/>
        </w:numPr>
        <w:spacing w:before="0" w:beforeAutospacing="0" w:after="0" w:afterAutospacing="0"/>
        <w:jc w:val="both"/>
        <w:textAlignment w:val="baseline"/>
        <w:rPr>
          <w:rFonts w:ascii="Noto Sans Symbols" w:hAnsi="Noto Sans Symbols"/>
          <w:color w:val="000000"/>
          <w:sz w:val="20"/>
          <w:szCs w:val="20"/>
          <w:lang w:val="en-US"/>
        </w:rPr>
      </w:pPr>
      <w:r w:rsidRPr="00452809">
        <w:rPr>
          <w:rFonts w:ascii="Arial" w:hAnsi="Arial" w:cs="Arial"/>
          <w:color w:val="000000"/>
          <w:sz w:val="20"/>
          <w:szCs w:val="20"/>
          <w:lang w:val="en-US"/>
        </w:rPr>
        <w:t>climate alignment for funds that promote a climate objective or characteristic</w:t>
      </w:r>
    </w:p>
    <w:p w14:paraId="299E96D0" w14:textId="77777777" w:rsidR="00452809" w:rsidRPr="00452809" w:rsidRDefault="00452809" w:rsidP="00452809">
      <w:pPr>
        <w:pStyle w:val="NormalWeb"/>
        <w:numPr>
          <w:ilvl w:val="1"/>
          <w:numId w:val="42"/>
        </w:numPr>
        <w:spacing w:before="0" w:beforeAutospacing="0" w:after="0" w:afterAutospacing="0"/>
        <w:jc w:val="both"/>
        <w:textAlignment w:val="baseline"/>
        <w:rPr>
          <w:rFonts w:ascii="Noto Sans Symbols" w:hAnsi="Noto Sans Symbols"/>
          <w:color w:val="000000"/>
          <w:sz w:val="20"/>
          <w:szCs w:val="20"/>
          <w:lang w:val="en-US"/>
        </w:rPr>
      </w:pPr>
      <w:r w:rsidRPr="00452809">
        <w:rPr>
          <w:rFonts w:ascii="Arial" w:hAnsi="Arial" w:cs="Arial"/>
          <w:color w:val="000000"/>
          <w:sz w:val="20"/>
          <w:szCs w:val="20"/>
          <w:lang w:val="en-US"/>
        </w:rPr>
        <w:t xml:space="preserve">minimum on principal adverse impact indicators.  </w:t>
      </w:r>
      <w:r w:rsidRPr="00452809">
        <w:rPr>
          <w:rFonts w:ascii="Arial" w:hAnsi="Arial" w:cs="Arial"/>
          <w:b/>
          <w:bCs/>
          <w:color w:val="000000"/>
          <w:sz w:val="20"/>
          <w:szCs w:val="20"/>
          <w:shd w:val="clear" w:color="auto" w:fill="FFFF00"/>
          <w:lang w:val="en-US"/>
        </w:rPr>
        <w:t> </w:t>
      </w:r>
      <w:r w:rsidRPr="00452809">
        <w:rPr>
          <w:rFonts w:ascii="Arial" w:hAnsi="Arial" w:cs="Arial"/>
          <w:color w:val="000000"/>
          <w:sz w:val="20"/>
          <w:szCs w:val="20"/>
          <w:lang w:val="en-US"/>
        </w:rPr>
        <w:t>     </w:t>
      </w:r>
    </w:p>
    <w:p w14:paraId="440C6774" w14:textId="77777777" w:rsidR="00452809" w:rsidRPr="00452809" w:rsidRDefault="00452809" w:rsidP="00452809">
      <w:pPr>
        <w:pStyle w:val="NormalWeb"/>
        <w:numPr>
          <w:ilvl w:val="0"/>
          <w:numId w:val="42"/>
        </w:numPr>
        <w:spacing w:before="0" w:beforeAutospacing="0" w:after="0" w:afterAutospacing="0"/>
        <w:jc w:val="both"/>
        <w:textAlignment w:val="baseline"/>
        <w:rPr>
          <w:rFonts w:ascii="Arial" w:hAnsi="Arial" w:cs="Arial"/>
          <w:color w:val="000000"/>
          <w:sz w:val="20"/>
          <w:szCs w:val="20"/>
          <w:lang w:val="en-US"/>
        </w:rPr>
      </w:pPr>
      <w:r w:rsidRPr="00452809">
        <w:rPr>
          <w:rFonts w:ascii="Arial" w:hAnsi="Arial" w:cs="Arial"/>
          <w:color w:val="000000"/>
          <w:sz w:val="20"/>
          <w:szCs w:val="20"/>
          <w:lang w:val="en-US"/>
        </w:rPr>
        <w:t>Implementation of an active monitoring and analysis of controversies;</w:t>
      </w:r>
    </w:p>
    <w:p w14:paraId="2AE9A854" w14:textId="77777777" w:rsidR="00452809" w:rsidRDefault="00452809" w:rsidP="00452809">
      <w:pPr>
        <w:pStyle w:val="NormalWeb"/>
        <w:numPr>
          <w:ilvl w:val="0"/>
          <w:numId w:val="42"/>
        </w:numPr>
        <w:spacing w:before="0" w:beforeAutospacing="0" w:after="0" w:afterAutospacing="0"/>
        <w:jc w:val="both"/>
        <w:textAlignment w:val="baseline"/>
        <w:rPr>
          <w:rFonts w:ascii="Arial" w:hAnsi="Arial" w:cs="Arial"/>
          <w:color w:val="000000"/>
          <w:sz w:val="20"/>
          <w:szCs w:val="20"/>
        </w:rPr>
      </w:pPr>
      <w:proofErr w:type="spellStart"/>
      <w:r>
        <w:rPr>
          <w:rFonts w:ascii="Arial" w:hAnsi="Arial" w:cs="Arial"/>
          <w:color w:val="000000"/>
          <w:sz w:val="20"/>
          <w:szCs w:val="20"/>
        </w:rPr>
        <w:t>Implementation</w:t>
      </w:r>
      <w:proofErr w:type="spellEnd"/>
      <w:r>
        <w:rPr>
          <w:rFonts w:ascii="Arial" w:hAnsi="Arial" w:cs="Arial"/>
          <w:color w:val="000000"/>
          <w:sz w:val="20"/>
          <w:szCs w:val="20"/>
        </w:rPr>
        <w:t xml:space="preserve"> of engagement </w:t>
      </w:r>
      <w:proofErr w:type="spellStart"/>
      <w:r>
        <w:rPr>
          <w:rFonts w:ascii="Arial" w:hAnsi="Arial" w:cs="Arial"/>
          <w:color w:val="000000"/>
          <w:sz w:val="20"/>
          <w:szCs w:val="20"/>
        </w:rPr>
        <w:t>policy</w:t>
      </w:r>
      <w:proofErr w:type="spellEnd"/>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3B2458A" w14:textId="77777777" w:rsidR="00452809" w:rsidRDefault="00452809" w:rsidP="00B92885">
      <w:pPr>
        <w:rPr>
          <w:rFonts w:cs="Arial"/>
          <w:color w:val="000000"/>
          <w:szCs w:val="20"/>
        </w:rPr>
      </w:pPr>
      <w:permStart w:id="175976681" w:edGrp="everyone"/>
      <w:r>
        <w:rPr>
          <w:rFonts w:cs="Arial"/>
          <w:color w:val="000000"/>
          <w:szCs w:val="20"/>
        </w:rPr>
        <w:t xml:space="preserve">We agree with the need for minimum safeguards for investments categorised as meeting the environmental or social characteristics or sustainable investment objectives. </w:t>
      </w:r>
    </w:p>
    <w:permEnd w:id="175976681"/>
    <w:p w14:paraId="6EE97467" w14:textId="11FE4BE5"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lastRenderedPageBreak/>
        <w:t>&lt;ESMA_QUESTION_FUNA_7&gt;</w:t>
      </w:r>
    </w:p>
    <w:p w14:paraId="17796283" w14:textId="77777777" w:rsidR="00452809" w:rsidRPr="00452809" w:rsidRDefault="00452809" w:rsidP="00452809">
      <w:pPr>
        <w:pStyle w:val="NormalWeb"/>
        <w:spacing w:before="0" w:beforeAutospacing="0" w:after="0" w:afterAutospacing="0"/>
        <w:jc w:val="both"/>
        <w:rPr>
          <w:lang w:val="en-US"/>
        </w:rPr>
      </w:pPr>
      <w:permStart w:id="576722602" w:edGrp="everyone"/>
      <w:r w:rsidRPr="00452809">
        <w:rPr>
          <w:rFonts w:ascii="Arial" w:hAnsi="Arial" w:cs="Arial"/>
          <w:color w:val="000000"/>
          <w:sz w:val="20"/>
          <w:szCs w:val="20"/>
          <w:lang w:val="en-US"/>
        </w:rPr>
        <w:t>We would recommend specific safeguards for derivatives depending on their nature. As such for any derivatives with a physical exposition, specific safeguards have to be required. Notably, we consider that (</w:t>
      </w:r>
      <w:proofErr w:type="spellStart"/>
      <w:r w:rsidRPr="00452809">
        <w:rPr>
          <w:rFonts w:ascii="Arial" w:hAnsi="Arial" w:cs="Arial"/>
          <w:color w:val="000000"/>
          <w:sz w:val="20"/>
          <w:szCs w:val="20"/>
          <w:lang w:val="en-US"/>
        </w:rPr>
        <w:t>i</w:t>
      </w:r>
      <w:proofErr w:type="spellEnd"/>
      <w:r w:rsidRPr="00452809">
        <w:rPr>
          <w:rFonts w:ascii="Arial" w:hAnsi="Arial" w:cs="Arial"/>
          <w:color w:val="000000"/>
          <w:sz w:val="20"/>
          <w:szCs w:val="20"/>
          <w:lang w:val="en-US"/>
        </w:rPr>
        <w:t>) derivatives used for hedging purposes have to be included in the non-eligible part of the fund and subject to specific provision, (ii) derivatives used for exposition purposes have to be excluded in case of neither a minimum extra-financial analysis (i.e. for identifying potential negative impact) due to opacity (e.g. TSR) nor engagement actions are possible.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4B0772CD" w14:textId="77777777" w:rsidR="00452809" w:rsidRPr="00452809" w:rsidRDefault="00452809" w:rsidP="00452809">
      <w:pPr>
        <w:pStyle w:val="NormalWeb"/>
        <w:spacing w:before="0" w:beforeAutospacing="0" w:after="0" w:afterAutospacing="0"/>
        <w:rPr>
          <w:lang w:val="en-US"/>
        </w:rPr>
      </w:pPr>
      <w:permStart w:id="1071974531" w:edGrp="everyone"/>
      <w:r w:rsidRPr="00452809">
        <w:rPr>
          <w:rFonts w:ascii="Arial" w:hAnsi="Arial" w:cs="Arial"/>
          <w:color w:val="000000"/>
          <w:sz w:val="20"/>
          <w:szCs w:val="20"/>
          <w:lang w:val="en-US"/>
        </w:rPr>
        <w:t>The use of the nominal value allows for more consistency with other assets and makes it easier to represent the ESG allocation of a fund.</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103E4157" w14:textId="77777777" w:rsidR="00452809" w:rsidRDefault="00452809" w:rsidP="00B92885">
      <w:pPr>
        <w:rPr>
          <w:rFonts w:cs="Arial"/>
          <w:color w:val="000000"/>
          <w:szCs w:val="20"/>
        </w:rPr>
      </w:pPr>
      <w:permStart w:id="1162834929" w:edGrp="everyone"/>
      <w:r>
        <w:rPr>
          <w:rFonts w:cs="Arial"/>
          <w:color w:val="000000"/>
          <w:szCs w:val="20"/>
        </w:rPr>
        <w:t>For derivatives that cannot be subject to quantitative and qualitative requirements, it is necessary to limit them to temporary and ancillary use.</w:t>
      </w:r>
    </w:p>
    <w:permEnd w:id="1162834929"/>
    <w:p w14:paraId="54A1018F" w14:textId="05DD276D"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5EBF2F8E" w14:textId="77777777" w:rsidR="00452809" w:rsidRPr="00452809" w:rsidRDefault="00452809" w:rsidP="00452809">
      <w:pPr>
        <w:pStyle w:val="NormalWeb"/>
        <w:spacing w:before="0" w:beforeAutospacing="0" w:after="0" w:afterAutospacing="0"/>
        <w:jc w:val="both"/>
        <w:rPr>
          <w:lang w:val="en-US"/>
        </w:rPr>
      </w:pPr>
      <w:permStart w:id="650455330" w:edGrp="everyone"/>
      <w:r w:rsidRPr="00452809">
        <w:rPr>
          <w:rFonts w:ascii="Arial" w:hAnsi="Arial" w:cs="Arial"/>
          <w:color w:val="000000"/>
          <w:sz w:val="20"/>
          <w:szCs w:val="20"/>
          <w:lang w:val="en-US"/>
        </w:rPr>
        <w:t>We agree that funds designating an index as a reference benchmark should also consider the same requirements for funds’ names as any other fund. To be noted, we recommend that these funds should also apply minimum safeguards (see Q5 and Q6).</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6EE3D49B" w14:textId="77777777" w:rsidR="00452809" w:rsidRPr="00452809" w:rsidRDefault="00452809" w:rsidP="00452809">
      <w:pPr>
        <w:pStyle w:val="NormalWeb"/>
        <w:spacing w:before="0" w:beforeAutospacing="0" w:after="0" w:afterAutospacing="0"/>
        <w:rPr>
          <w:lang w:val="en-US"/>
        </w:rPr>
      </w:pPr>
      <w:permStart w:id="1876589445" w:edGrp="everyone"/>
      <w:r w:rsidRPr="00452809">
        <w:rPr>
          <w:rFonts w:ascii="Arial" w:hAnsi="Arial" w:cs="Arial"/>
          <w:color w:val="000000"/>
          <w:sz w:val="20"/>
          <w:szCs w:val="20"/>
          <w:lang w:val="en-US"/>
        </w:rPr>
        <w:t>Yes, it is necessary to make a distinction between physical and synthetic replication. The quantitative and qualitative requirements can only be applied in the context of physical replication.</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6FF8F00" w14:textId="77777777" w:rsidR="00452809" w:rsidRDefault="00452809" w:rsidP="00B92885">
      <w:pPr>
        <w:rPr>
          <w:rFonts w:cs="Arial"/>
          <w:color w:val="000000"/>
          <w:szCs w:val="20"/>
        </w:rPr>
      </w:pPr>
      <w:permStart w:id="1992309739" w:edGrp="everyone"/>
      <w:r>
        <w:rPr>
          <w:rFonts w:cs="Arial"/>
          <w:color w:val="000000"/>
          <w:szCs w:val="20"/>
        </w:rPr>
        <w:t xml:space="preserve">We agree to have specific provisions for "impact" or impact-related names in these guidelines. As mentioned above, these specific guidelines should be incorporated into existing regulations, particularly as it relates to Article 9 SFDR funds. </w:t>
      </w:r>
    </w:p>
    <w:permEnd w:id="1992309739"/>
    <w:p w14:paraId="14AB0C87" w14:textId="5F0AA8EE"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lastRenderedPageBreak/>
        <w:t>&lt;ESMA_QUESTION_FUNA_11&gt;</w:t>
      </w:r>
    </w:p>
    <w:p w14:paraId="77A05583" w14:textId="77777777" w:rsidR="00452809" w:rsidRDefault="00452809" w:rsidP="00B92885">
      <w:pPr>
        <w:rPr>
          <w:rFonts w:cs="Arial"/>
          <w:color w:val="000000"/>
          <w:szCs w:val="20"/>
        </w:rPr>
      </w:pPr>
      <w:permStart w:id="1423966990" w:edGrp="everyone"/>
      <w:r>
        <w:rPr>
          <w:rFonts w:cs="Arial"/>
          <w:color w:val="000000"/>
          <w:szCs w:val="20"/>
        </w:rPr>
        <w:t>We agree to having specific provisions for “transition” or transition-related names in these Guidelines. As mentioned above, these specific guidelines should be incorporated into existing regulations. We would recommend to reinforce the sustainable investment definition formalized by SFDR in order to include transitioning strategies. In addition, such guidelines require a more formalised regulatory framework regarding such strategies to avoid circumvention and greenwashing.</w:t>
      </w:r>
    </w:p>
    <w:permEnd w:id="1423966990"/>
    <w:p w14:paraId="0643B633" w14:textId="7B794D88"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695B9F5D" w14:textId="77777777" w:rsidR="00452809" w:rsidRDefault="00452809" w:rsidP="00B92885">
      <w:pPr>
        <w:rPr>
          <w:rFonts w:cs="Arial"/>
          <w:color w:val="000000"/>
          <w:szCs w:val="20"/>
        </w:rPr>
      </w:pPr>
      <w:permStart w:id="1434478937" w:edGrp="everyone"/>
      <w:r>
        <w:rPr>
          <w:rFonts w:cs="Arial"/>
          <w:color w:val="000000"/>
          <w:szCs w:val="20"/>
        </w:rPr>
        <w:t>We propose to articulate these Guidelines within the same scope of application as SFDR Regulation</w:t>
      </w:r>
    </w:p>
    <w:permEnd w:id="1434478937"/>
    <w:p w14:paraId="70EEE415" w14:textId="7AFDB130"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8E14D1D" w:rsidR="00B92885" w:rsidRPr="00452809" w:rsidRDefault="00452809" w:rsidP="00452809">
      <w:pPr>
        <w:pStyle w:val="NormalWeb"/>
        <w:spacing w:before="0" w:beforeAutospacing="0" w:after="0" w:afterAutospacing="0"/>
        <w:jc w:val="both"/>
        <w:rPr>
          <w:lang w:val="en-US"/>
        </w:rPr>
      </w:pPr>
      <w:permStart w:id="489244833" w:edGrp="everyone"/>
      <w:r w:rsidRPr="00452809">
        <w:rPr>
          <w:rFonts w:ascii="Arial" w:hAnsi="Arial" w:cs="Arial"/>
          <w:color w:val="000000"/>
          <w:sz w:val="20"/>
          <w:szCs w:val="20"/>
          <w:lang w:val="en-US"/>
        </w:rPr>
        <w:t>We agree with having a transitional period of 6 months from the date of the application of the guidelines for existing funds. This timeline is necessary to compensate for the costs for implementing new requirements. Indeed, as multiple funds with ESG- or sustainability-related terms in the name do not apply specific criteria for sustainability, new requirements are needed to limit the risk of "greenwashing". In a context where such funds are very attractive on the market, it is important to address this risk quickly. We highlight the necessity to disclose clear and precise guidelines in order to facilitate their implementation.</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0583175" w14:textId="77777777" w:rsidR="00452809" w:rsidRDefault="00452809" w:rsidP="00B92885">
      <w:pPr>
        <w:rPr>
          <w:rFonts w:cs="Arial"/>
          <w:color w:val="000000"/>
          <w:szCs w:val="20"/>
        </w:rPr>
      </w:pPr>
      <w:permStart w:id="1766353355" w:edGrp="everyone"/>
      <w:r>
        <w:rPr>
          <w:rFonts w:cs="Arial"/>
          <w:color w:val="000000"/>
          <w:szCs w:val="20"/>
        </w:rPr>
        <w:t xml:space="preserve">The naming-related provisions should not be extended to closed-ended funds which have terminated their subscription period before the application date of the Guidelines. As the fund is no longer open to subscriptions and therefore doesn’t continuously offer its shares for sale, there is no commercial stake. The risk for greenwashing is then limited. The implementation of such rules won’t be efficient. </w:t>
      </w:r>
    </w:p>
    <w:permEnd w:id="1766353355"/>
    <w:p w14:paraId="611042B9" w14:textId="5AC706AE"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7FD05366" w14:textId="77777777" w:rsidR="00452809" w:rsidRPr="00452809" w:rsidRDefault="00452809" w:rsidP="00452809">
      <w:pPr>
        <w:pStyle w:val="NormalWeb"/>
        <w:spacing w:before="0" w:beforeAutospacing="0" w:after="0" w:afterAutospacing="0"/>
        <w:jc w:val="both"/>
        <w:rPr>
          <w:lang w:val="en-US"/>
        </w:rPr>
      </w:pPr>
      <w:permStart w:id="929254269" w:edGrp="everyone"/>
      <w:r w:rsidRPr="00452809">
        <w:rPr>
          <w:rFonts w:ascii="Arial" w:hAnsi="Arial" w:cs="Arial"/>
          <w:color w:val="000000"/>
          <w:sz w:val="20"/>
          <w:szCs w:val="20"/>
          <w:lang w:val="en-US"/>
        </w:rPr>
        <w:t>The implementation of proposed Guidelines, without relying on existing frameworks (i.e. European, national and labels), would lead to confusion and complexity and finally would increase the risk of greenwashing.</w:t>
      </w:r>
    </w:p>
    <w:p w14:paraId="761C5A73" w14:textId="77777777" w:rsidR="00452809" w:rsidRPr="00452809" w:rsidRDefault="00452809" w:rsidP="00452809">
      <w:pPr>
        <w:pStyle w:val="NormalWeb"/>
        <w:spacing w:before="0" w:beforeAutospacing="0" w:after="0" w:afterAutospacing="0"/>
        <w:jc w:val="both"/>
        <w:rPr>
          <w:lang w:val="en-US"/>
        </w:rPr>
      </w:pPr>
      <w:r w:rsidRPr="00452809">
        <w:rPr>
          <w:rFonts w:ascii="Arial" w:hAnsi="Arial" w:cs="Arial"/>
          <w:color w:val="000000"/>
          <w:sz w:val="20"/>
          <w:szCs w:val="20"/>
          <w:lang w:val="en-US"/>
        </w:rPr>
        <w:t>Indeed, the implementation of new requirements based only on quantitative thresholds without correlation with the sustainable regulation, will not conduct professional investors to really improve their strategies. Indeed, professional investors, in order to limit the impact of such guidelines, could only implement a few adjustments in order to be aligned with these quantitative requirements without improving the ESG allocation of their assets.</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lastRenderedPageBreak/>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F828" w14:textId="77777777" w:rsidR="00FA1EAE" w:rsidRDefault="00FA1EAE">
      <w:r>
        <w:separator/>
      </w:r>
    </w:p>
    <w:p w14:paraId="0CE8F552" w14:textId="77777777" w:rsidR="00FA1EAE" w:rsidRDefault="00FA1EAE"/>
  </w:endnote>
  <w:endnote w:type="continuationSeparator" w:id="0">
    <w:p w14:paraId="1237B740" w14:textId="77777777" w:rsidR="00FA1EAE" w:rsidRDefault="00FA1EAE">
      <w:r>
        <w:continuationSeparator/>
      </w:r>
    </w:p>
    <w:p w14:paraId="7E7DD2D6" w14:textId="77777777" w:rsidR="00FA1EAE" w:rsidRDefault="00FA1EAE"/>
  </w:endnote>
  <w:endnote w:type="continuationNotice" w:id="1">
    <w:p w14:paraId="0B7780DB" w14:textId="77777777" w:rsidR="00FA1EAE" w:rsidRDefault="00FA1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80"/>
    <w:family w:val="swiss"/>
    <w:pitch w:val="default"/>
  </w:font>
  <w:font w:name="EU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charset w:val="00"/>
    <w:family w:val="roman"/>
    <w:pitch w:val="variable"/>
  </w:font>
  <w:font w:name="Myriad Pro Ligh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depage"/>
      <w:tabs>
        <w:tab w:val="clear" w:pos="4536"/>
        <w:tab w:val="clear" w:pos="9072"/>
        <w:tab w:val="left" w:pos="8227"/>
        <w:tab w:val="right" w:pos="9412"/>
      </w:tabs>
    </w:pPr>
    <w:r>
      <w:tab/>
    </w:r>
    <w:r w:rsidR="00B92885">
      <w:tab/>
    </w:r>
  </w:p>
  <w:p w14:paraId="3A793707" w14:textId="084F8123" w:rsidR="00B92885" w:rsidRDefault="00B92885" w:rsidP="00B92885">
    <w:pPr>
      <w:pStyle w:val="Pieddepage"/>
      <w:tabs>
        <w:tab w:val="clear" w:pos="4536"/>
        <w:tab w:val="clear" w:pos="9072"/>
        <w:tab w:val="left" w:pos="8227"/>
        <w:tab w:val="right" w:pos="9412"/>
      </w:tabs>
    </w:pPr>
    <w:r>
      <w:tab/>
    </w:r>
    <w:r>
      <w:tab/>
    </w:r>
    <w:r>
      <w:tab/>
    </w:r>
  </w:p>
  <w:p w14:paraId="6D19C66C" w14:textId="10DE0B9B" w:rsidR="00B92885" w:rsidRDefault="00B92885" w:rsidP="00B92885">
    <w:pPr>
      <w:pStyle w:val="Pieddepag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81814" w14:textId="77777777" w:rsidR="00FA1EAE" w:rsidRDefault="00FA1EAE">
      <w:r>
        <w:separator/>
      </w:r>
    </w:p>
    <w:p w14:paraId="6CE07DFF" w14:textId="77777777" w:rsidR="00FA1EAE" w:rsidRDefault="00FA1EAE"/>
  </w:footnote>
  <w:footnote w:type="continuationSeparator" w:id="0">
    <w:p w14:paraId="0F48F008" w14:textId="77777777" w:rsidR="00FA1EAE" w:rsidRDefault="00FA1EAE">
      <w:r>
        <w:continuationSeparator/>
      </w:r>
    </w:p>
    <w:p w14:paraId="7C2D255D" w14:textId="77777777" w:rsidR="00FA1EAE" w:rsidRDefault="00FA1EAE"/>
  </w:footnote>
  <w:footnote w:type="continuationNotice" w:id="1">
    <w:p w14:paraId="62E2341A" w14:textId="77777777" w:rsidR="00FA1EAE" w:rsidRDefault="00FA1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tt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tt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tte"/>
      <w:rPr>
        <w:lang w:val="fr-FR"/>
      </w:rPr>
    </w:pPr>
  </w:p>
  <w:p w14:paraId="3F30C70B" w14:textId="77777777" w:rsidR="00267551" w:rsidRPr="002F4496" w:rsidRDefault="00267551" w:rsidP="000C06C9">
    <w:pPr>
      <w:pStyle w:val="En-tte"/>
      <w:tabs>
        <w:tab w:val="clear" w:pos="4536"/>
        <w:tab w:val="clear" w:pos="9072"/>
        <w:tab w:val="left" w:pos="8227"/>
      </w:tabs>
      <w:rPr>
        <w:lang w:val="fr-FR"/>
      </w:rPr>
    </w:pPr>
  </w:p>
  <w:p w14:paraId="4D50BC39" w14:textId="77777777" w:rsidR="00267551" w:rsidRPr="002F4496" w:rsidRDefault="00267551" w:rsidP="00583885">
    <w:pPr>
      <w:pStyle w:val="En-tte"/>
      <w:jc w:val="right"/>
      <w:rPr>
        <w:lang w:val="fr-FR"/>
      </w:rPr>
    </w:pPr>
  </w:p>
  <w:p w14:paraId="2D51BEA2" w14:textId="77777777" w:rsidR="00267551" w:rsidRPr="002F4496" w:rsidRDefault="00267551">
    <w:pPr>
      <w:pStyle w:val="En-tte"/>
      <w:rPr>
        <w:lang w:val="fr-FR"/>
      </w:rPr>
    </w:pPr>
  </w:p>
  <w:p w14:paraId="340B2438" w14:textId="77777777" w:rsidR="00267551" w:rsidRPr="002F4496" w:rsidRDefault="00267551">
    <w:pPr>
      <w:pStyle w:val="En-tte"/>
      <w:rPr>
        <w:lang w:val="fr-FR"/>
      </w:rPr>
    </w:pPr>
  </w:p>
  <w:p w14:paraId="2A794A3E" w14:textId="77777777" w:rsidR="00267551" w:rsidRPr="002F4496" w:rsidRDefault="00267551">
    <w:pPr>
      <w:pStyle w:val="En-tte"/>
      <w:rPr>
        <w:lang w:val="fr-FR"/>
      </w:rPr>
    </w:pPr>
  </w:p>
  <w:p w14:paraId="0A21F475" w14:textId="77777777" w:rsidR="00267551" w:rsidRPr="002F4496" w:rsidRDefault="00267551">
    <w:pPr>
      <w:pStyle w:val="En-tte"/>
      <w:rPr>
        <w:highlight w:val="yellow"/>
        <w:lang w:val="fr-FR"/>
      </w:rPr>
    </w:pPr>
  </w:p>
  <w:p w14:paraId="53ABEE5D" w14:textId="77777777" w:rsidR="00267551" w:rsidRDefault="00267551">
    <w:pPr>
      <w:pStyle w:val="En-tt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9156B5"/>
    <w:multiLevelType w:val="multilevel"/>
    <w:tmpl w:val="30CA2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37485"/>
    <w:multiLevelType w:val="multilevel"/>
    <w:tmpl w:val="DC8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6"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0"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657658397">
    <w:abstractNumId w:val="18"/>
  </w:num>
  <w:num w:numId="2" w16cid:durableId="1263997037">
    <w:abstractNumId w:val="20"/>
  </w:num>
  <w:num w:numId="3" w16cid:durableId="1542939639">
    <w:abstractNumId w:val="12"/>
  </w:num>
  <w:num w:numId="4" w16cid:durableId="14618976">
    <w:abstractNumId w:val="25"/>
  </w:num>
  <w:num w:numId="5" w16cid:durableId="212547536">
    <w:abstractNumId w:val="27"/>
  </w:num>
  <w:num w:numId="6" w16cid:durableId="1295524157">
    <w:abstractNumId w:val="0"/>
  </w:num>
  <w:num w:numId="7" w16cid:durableId="45373719">
    <w:abstractNumId w:val="3"/>
  </w:num>
  <w:num w:numId="8" w16cid:durableId="13041161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448315">
    <w:abstractNumId w:val="33"/>
  </w:num>
  <w:num w:numId="10" w16cid:durableId="1549589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51431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407186">
    <w:abstractNumId w:val="29"/>
  </w:num>
  <w:num w:numId="13" w16cid:durableId="583228851">
    <w:abstractNumId w:val="32"/>
  </w:num>
  <w:num w:numId="14" w16cid:durableId="513426114">
    <w:abstractNumId w:val="24"/>
  </w:num>
  <w:num w:numId="15" w16cid:durableId="1918243234">
    <w:abstractNumId w:val="11"/>
  </w:num>
  <w:num w:numId="16" w16cid:durableId="905603944">
    <w:abstractNumId w:val="1"/>
  </w:num>
  <w:num w:numId="17" w16cid:durableId="1748915940">
    <w:abstractNumId w:val="16"/>
  </w:num>
  <w:num w:numId="18" w16cid:durableId="1119379142">
    <w:abstractNumId w:val="17"/>
  </w:num>
  <w:num w:numId="19" w16cid:durableId="132791948">
    <w:abstractNumId w:val="19"/>
  </w:num>
  <w:num w:numId="20" w16cid:durableId="935555337">
    <w:abstractNumId w:val="28"/>
  </w:num>
  <w:num w:numId="21" w16cid:durableId="513417412">
    <w:abstractNumId w:val="38"/>
  </w:num>
  <w:num w:numId="22" w16cid:durableId="2008244410">
    <w:abstractNumId w:val="26"/>
  </w:num>
  <w:num w:numId="23" w16cid:durableId="668522">
    <w:abstractNumId w:val="10"/>
  </w:num>
  <w:num w:numId="24" w16cid:durableId="749810490">
    <w:abstractNumId w:val="31"/>
  </w:num>
  <w:num w:numId="25" w16cid:durableId="1358384754">
    <w:abstractNumId w:val="30"/>
  </w:num>
  <w:num w:numId="26" w16cid:durableId="57366787">
    <w:abstractNumId w:val="21"/>
  </w:num>
  <w:num w:numId="27" w16cid:durableId="527109256">
    <w:abstractNumId w:val="34"/>
  </w:num>
  <w:num w:numId="28" w16cid:durableId="587346442">
    <w:abstractNumId w:val="40"/>
  </w:num>
  <w:num w:numId="29" w16cid:durableId="891498378">
    <w:abstractNumId w:val="8"/>
  </w:num>
  <w:num w:numId="30" w16cid:durableId="1086725671">
    <w:abstractNumId w:val="2"/>
  </w:num>
  <w:num w:numId="31" w16cid:durableId="1697805007">
    <w:abstractNumId w:val="23"/>
  </w:num>
  <w:num w:numId="32" w16cid:durableId="209924155">
    <w:abstractNumId w:val="22"/>
  </w:num>
  <w:num w:numId="33" w16cid:durableId="639766910">
    <w:abstractNumId w:val="36"/>
  </w:num>
  <w:num w:numId="34" w16cid:durableId="1325814342">
    <w:abstractNumId w:val="35"/>
  </w:num>
  <w:num w:numId="35" w16cid:durableId="739330086">
    <w:abstractNumId w:val="4"/>
  </w:num>
  <w:num w:numId="36" w16cid:durableId="745303912">
    <w:abstractNumId w:val="37"/>
  </w:num>
  <w:num w:numId="37" w16cid:durableId="312367890">
    <w:abstractNumId w:val="22"/>
    <w:lvlOverride w:ilvl="0">
      <w:startOverride w:val="1"/>
    </w:lvlOverride>
  </w:num>
  <w:num w:numId="38" w16cid:durableId="955989260">
    <w:abstractNumId w:val="22"/>
  </w:num>
  <w:num w:numId="39" w16cid:durableId="863641611">
    <w:abstractNumId w:val="14"/>
  </w:num>
  <w:num w:numId="40" w16cid:durableId="1697270714">
    <w:abstractNumId w:val="5"/>
  </w:num>
  <w:num w:numId="41" w16cid:durableId="1576553491">
    <w:abstractNumId w:val="13"/>
  </w:num>
  <w:num w:numId="42" w16cid:durableId="35741262">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2809"/>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1EAE"/>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itre1">
    <w:name w:val="heading 1"/>
    <w:basedOn w:val="Normal"/>
    <w:next w:val="Normal"/>
    <w:link w:val="Titre1Car"/>
    <w:qFormat/>
    <w:locked/>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locked/>
    <w:rsid w:val="00886A60"/>
    <w:pPr>
      <w:keepNext/>
      <w:keepLines/>
      <w:spacing w:before="200" w:after="120"/>
      <w:outlineLvl w:val="1"/>
    </w:pPr>
    <w:rPr>
      <w:b/>
      <w:bCs/>
      <w:szCs w:val="26"/>
    </w:rPr>
  </w:style>
  <w:style w:type="paragraph" w:styleId="Titre3">
    <w:name w:val="heading 3"/>
    <w:basedOn w:val="Normal"/>
    <w:next w:val="Normal"/>
    <w:link w:val="Titre3Car"/>
    <w:qFormat/>
    <w:locked/>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uiPriority w:val="9"/>
    <w:qFormat/>
    <w:locked/>
    <w:rsid w:val="00E9344E"/>
    <w:pPr>
      <w:keepNext/>
      <w:keepLines/>
      <w:numPr>
        <w:numId w:val="13"/>
      </w:numPr>
      <w:spacing w:before="200"/>
      <w:jc w:val="both"/>
      <w:outlineLvl w:val="4"/>
    </w:pPr>
    <w:rPr>
      <w:b/>
    </w:rPr>
  </w:style>
  <w:style w:type="paragraph" w:styleId="Titre6">
    <w:name w:val="heading 6"/>
    <w:basedOn w:val="Normal"/>
    <w:next w:val="Normal"/>
    <w:link w:val="Titre6Car"/>
    <w:qFormat/>
    <w:locked/>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locked/>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locked/>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locked/>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locked/>
    <w:rsid w:val="005B64CB"/>
    <w:pPr>
      <w:tabs>
        <w:tab w:val="center" w:pos="4536"/>
        <w:tab w:val="right" w:pos="9072"/>
      </w:tabs>
    </w:pPr>
  </w:style>
  <w:style w:type="paragraph" w:styleId="Pieddepage">
    <w:name w:val="footer"/>
    <w:basedOn w:val="Normal"/>
    <w:link w:val="PieddepageCar"/>
    <w:uiPriority w:val="99"/>
    <w:locked/>
    <w:rsid w:val="005B64CB"/>
    <w:pPr>
      <w:tabs>
        <w:tab w:val="center" w:pos="4536"/>
        <w:tab w:val="right" w:pos="9072"/>
      </w:tabs>
    </w:pPr>
  </w:style>
  <w:style w:type="table" w:styleId="Grilledutableau">
    <w:name w:val="Table Grid"/>
    <w:basedOn w:val="Tableau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rodepage">
    <w:name w:val="page number"/>
    <w:basedOn w:val="Policepardfau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Lienhypertext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w:basedOn w:val="Normal"/>
    <w:link w:val="NotedebasdepageCar"/>
    <w:qFormat/>
    <w:locked/>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TM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Marquedecommentaire">
    <w:name w:val="annotation reference"/>
    <w:locked/>
    <w:rsid w:val="004B1E61"/>
    <w:rPr>
      <w:sz w:val="16"/>
      <w:szCs w:val="16"/>
    </w:rPr>
  </w:style>
  <w:style w:type="paragraph" w:styleId="Commentaire">
    <w:name w:val="annotation text"/>
    <w:basedOn w:val="Normal"/>
    <w:link w:val="CommentaireCar"/>
    <w:locked/>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locked/>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locked/>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locked/>
    <w:rsid w:val="002A0C82"/>
    <w:pPr>
      <w:ind w:left="720"/>
      <w:contextualSpacing/>
    </w:pPr>
  </w:style>
  <w:style w:type="paragraph" w:styleId="En-ttedetabledesmatires">
    <w:name w:val="TOC Heading"/>
    <w:basedOn w:val="Titre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Accentuation">
    <w:name w:val="Emphasis"/>
    <w:uiPriority w:val="20"/>
    <w:qFormat/>
    <w:locked/>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gend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uiPriority w:val="99"/>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Explorateurdedocuments">
    <w:name w:val="Document Map"/>
    <w:basedOn w:val="Normal"/>
    <w:link w:val="ExplorateurdedocumentsCar"/>
    <w:locked/>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lock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lock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lev">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locked/>
    <w:rsid w:val="002D6E1A"/>
  </w:style>
  <w:style w:type="character" w:styleId="Lienhypertextesuivivisit">
    <w:name w:val="FollowedHyperlink"/>
    <w:unhideWhenUsed/>
    <w:lock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lock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locked/>
    <w:rsid w:val="002D6E1A"/>
    <w:rPr>
      <w:vertAlign w:val="superscript"/>
    </w:rPr>
  </w:style>
  <w:style w:type="character" w:styleId="Textedelespacerserv">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au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re5Car">
    <w:name w:val="Titre 5 Car"/>
    <w:aliases w:val="Questions Car"/>
    <w:link w:val="Titre5"/>
    <w:uiPriority w:val="9"/>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re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re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enum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locked/>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Policepardfau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49583904">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338969168">
      <w:bodyDiv w:val="1"/>
      <w:marLeft w:val="0"/>
      <w:marRight w:val="0"/>
      <w:marTop w:val="0"/>
      <w:marBottom w:val="0"/>
      <w:divBdr>
        <w:top w:val="none" w:sz="0" w:space="0" w:color="auto"/>
        <w:left w:val="none" w:sz="0" w:space="0" w:color="auto"/>
        <w:bottom w:val="none" w:sz="0" w:space="0" w:color="auto"/>
        <w:right w:val="none" w:sz="0" w:space="0" w:color="auto"/>
      </w:divBdr>
    </w:div>
    <w:div w:id="372772033">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041113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03215276">
      <w:bodyDiv w:val="1"/>
      <w:marLeft w:val="0"/>
      <w:marRight w:val="0"/>
      <w:marTop w:val="0"/>
      <w:marBottom w:val="0"/>
      <w:divBdr>
        <w:top w:val="none" w:sz="0" w:space="0" w:color="auto"/>
        <w:left w:val="none" w:sz="0" w:space="0" w:color="auto"/>
        <w:bottom w:val="none" w:sz="0" w:space="0" w:color="auto"/>
        <w:right w:val="none" w:sz="0" w:space="0" w:color="auto"/>
      </w:divBdr>
    </w:div>
    <w:div w:id="712117977">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019509662">
      <w:bodyDiv w:val="1"/>
      <w:marLeft w:val="0"/>
      <w:marRight w:val="0"/>
      <w:marTop w:val="0"/>
      <w:marBottom w:val="0"/>
      <w:divBdr>
        <w:top w:val="none" w:sz="0" w:space="0" w:color="auto"/>
        <w:left w:val="none" w:sz="0" w:space="0" w:color="auto"/>
        <w:bottom w:val="none" w:sz="0" w:space="0" w:color="auto"/>
        <w:right w:val="none" w:sz="0" w:space="0" w:color="auto"/>
      </w:divBdr>
    </w:div>
    <w:div w:id="1079324295">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463353490">
      <w:bodyDiv w:val="1"/>
      <w:marLeft w:val="0"/>
      <w:marRight w:val="0"/>
      <w:marTop w:val="0"/>
      <w:marBottom w:val="0"/>
      <w:divBdr>
        <w:top w:val="none" w:sz="0" w:space="0" w:color="auto"/>
        <w:left w:val="none" w:sz="0" w:space="0" w:color="auto"/>
        <w:bottom w:val="none" w:sz="0" w:space="0" w:color="auto"/>
        <w:right w:val="none" w:sz="0" w:space="0" w:color="auto"/>
      </w:divBdr>
    </w:div>
    <w:div w:id="1467896613">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588226156">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68883621">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80168940">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75470294">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Props1.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2878</Words>
  <Characters>15835</Characters>
  <Application>Microsoft Office Word</Application>
  <DocSecurity>8</DocSecurity>
  <Lines>131</Lines>
  <Paragraphs>37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18676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Sabrine Aouida</cp:lastModifiedBy>
  <cp:revision>2</cp:revision>
  <cp:lastPrinted>2015-02-18T11:01:00Z</cp:lastPrinted>
  <dcterms:created xsi:type="dcterms:W3CDTF">2023-02-20T18:12:00Z</dcterms:created>
  <dcterms:modified xsi:type="dcterms:W3CDTF">2023-02-20T18:12:00Z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