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Footer"/>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2"/>
          <w:footerReference w:type="default" r:id="rId13"/>
          <w:headerReference w:type="first" r:id="rId14"/>
          <w:footerReference w:type="first" r:id="rId15"/>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yperlink"/>
        </w:rPr>
        <w:t>www.esma.europa.eu</w:t>
      </w:r>
      <w:r w:rsidR="0066246A">
        <w:rPr>
          <w:rStyle w:val="Hyperlink"/>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6"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Heading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ceholderText"/>
              <w:rFonts w:cs="Arial"/>
            </w:rPr>
            <w:id w:val="651570699"/>
            <w:text/>
          </w:sdtPr>
          <w:sdtContent>
            <w:tc>
              <w:tcPr>
                <w:tcW w:w="5595" w:type="dxa"/>
                <w:shd w:val="clear" w:color="auto" w:fill="auto"/>
              </w:tcPr>
              <w:p w14:paraId="7A68491E" w14:textId="5D9B8915" w:rsidR="00C2682A" w:rsidRPr="00AB6D88" w:rsidRDefault="00A21D76" w:rsidP="00FA5524">
                <w:pPr>
                  <w:rPr>
                    <w:rStyle w:val="PlaceholderText"/>
                    <w:rFonts w:cs="Arial"/>
                  </w:rPr>
                </w:pPr>
                <w:r>
                  <w:rPr>
                    <w:rStyle w:val="PlaceholderText"/>
                    <w:rFonts w:cs="Arial"/>
                  </w:rPr>
                  <w:t>The Investment Association</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296DBFD9" w:rsidR="00C2682A" w:rsidRPr="00AB6D88" w:rsidRDefault="00000000"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Content>
                <w:r w:rsidR="00986BD6">
                  <w:rPr>
                    <w:rFonts w:cs="Arial"/>
                  </w:rPr>
                  <w:t>Investment Services</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1"/>
              <w14:checkedState w14:val="2612" w14:font="MS Gothic"/>
              <w14:uncheckedState w14:val="2610" w14:font="MS Gothic"/>
            </w14:checkbox>
          </w:sdtPr>
          <w:sdtContent>
            <w:tc>
              <w:tcPr>
                <w:tcW w:w="5595" w:type="dxa"/>
                <w:shd w:val="clear" w:color="auto" w:fill="auto"/>
              </w:tcPr>
              <w:p w14:paraId="3EE0D441" w14:textId="287D892D" w:rsidR="00C2682A" w:rsidRPr="00AB6D88" w:rsidRDefault="006F5F04"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tc>
              <w:tcPr>
                <w:tcW w:w="5595" w:type="dxa"/>
                <w:shd w:val="clear" w:color="auto" w:fill="auto"/>
              </w:tcPr>
              <w:p w14:paraId="1045C271" w14:textId="37997BC3" w:rsidR="00C2682A" w:rsidRPr="00AB6D88" w:rsidRDefault="006F5F04" w:rsidP="00FA5524">
                <w:pPr>
                  <w:rPr>
                    <w:rFonts w:cs="Arial"/>
                  </w:rPr>
                </w:pPr>
                <w:r>
                  <w:rPr>
                    <w:rFonts w:cs="Arial"/>
                  </w:rPr>
                  <w:t>UK</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Heading1"/>
        <w:numPr>
          <w:ilvl w:val="0"/>
          <w:numId w:val="0"/>
        </w:numPr>
        <w:ind w:left="431" w:hanging="431"/>
      </w:pPr>
      <w:r>
        <w:t>Introduction</w:t>
      </w:r>
    </w:p>
    <w:p w14:paraId="0A354328" w14:textId="77777777" w:rsidR="00F87897" w:rsidRPr="001D47A5" w:rsidRDefault="00F87897" w:rsidP="00F87897">
      <w:pPr>
        <w:rPr>
          <w:rStyle w:val="IntenseEmphasis"/>
        </w:rPr>
      </w:pPr>
      <w:r w:rsidRPr="001D47A5">
        <w:rPr>
          <w:rStyle w:val="IntenseEmphasis"/>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45A40209" w14:textId="632496DA" w:rsidR="00D6673A" w:rsidRPr="00D6673A" w:rsidRDefault="00D6673A" w:rsidP="00D6673A">
      <w:pPr>
        <w:spacing w:after="160" w:line="259" w:lineRule="auto"/>
        <w:rPr>
          <w:rFonts w:ascii="Calibri" w:eastAsia="Calibri" w:hAnsi="Calibri"/>
          <w:b/>
          <w:bCs/>
          <w:sz w:val="22"/>
          <w:szCs w:val="22"/>
          <w:lang w:eastAsia="en-US"/>
        </w:rPr>
      </w:pPr>
      <w:permStart w:id="1100430741" w:edGrp="everyone"/>
      <w:r w:rsidRPr="00D6673A">
        <w:rPr>
          <w:rFonts w:ascii="Calibri" w:eastAsia="Calibri" w:hAnsi="Calibri"/>
          <w:b/>
          <w:bCs/>
          <w:sz w:val="22"/>
          <w:szCs w:val="22"/>
          <w:lang w:eastAsia="en-US"/>
        </w:rPr>
        <w:t>About the IA</w:t>
      </w:r>
    </w:p>
    <w:p w14:paraId="49EBD549" w14:textId="6C01CC17" w:rsidR="00D6673A" w:rsidRPr="00D6673A" w:rsidRDefault="00D6673A" w:rsidP="00D6673A">
      <w:pPr>
        <w:spacing w:after="160" w:line="259" w:lineRule="auto"/>
        <w:rPr>
          <w:rFonts w:ascii="Calibri" w:eastAsia="Calibri" w:hAnsi="Calibri"/>
          <w:sz w:val="22"/>
          <w:szCs w:val="22"/>
          <w:lang w:eastAsia="en-US"/>
        </w:rPr>
      </w:pPr>
      <w:r w:rsidRPr="00D6673A">
        <w:rPr>
          <w:rFonts w:ascii="Calibri" w:eastAsia="Calibri" w:hAnsi="Calibri"/>
          <w:sz w:val="22"/>
          <w:szCs w:val="22"/>
          <w:lang w:eastAsia="en-US"/>
        </w:rPr>
        <w:t>The IA champions the UK-based investment management industry, supporting British and global savers, investors and businesses. Our 250 members manage £10 trillion of assets and the investment management industry supports 122,000 jobs. IA members operate from offices across the EU and are active in every single Member state. In 2021/2022, IA members had invested more than £720bn into European equity, and we remain committed to supporting Europe’s transition to a greener and more sustainable future. Our mission is to make investment better. Better for clients, so they achieve their financial goals. Better for companies, so they get the capital they need to grow. And better for the economy, so everyone prospers. Our purpose is to ensure investment managers are in the best possible position to:</w:t>
      </w:r>
    </w:p>
    <w:p w14:paraId="77623685" w14:textId="77777777" w:rsidR="00D6673A" w:rsidRPr="00D6673A" w:rsidRDefault="00D6673A" w:rsidP="00D6673A">
      <w:pPr>
        <w:numPr>
          <w:ilvl w:val="0"/>
          <w:numId w:val="41"/>
        </w:numPr>
        <w:spacing w:after="160" w:line="259" w:lineRule="auto"/>
        <w:rPr>
          <w:rFonts w:ascii="Calibri" w:eastAsia="Calibri" w:hAnsi="Calibri"/>
          <w:sz w:val="22"/>
          <w:szCs w:val="22"/>
          <w:lang w:eastAsia="en-US"/>
        </w:rPr>
      </w:pPr>
      <w:r w:rsidRPr="00D6673A">
        <w:rPr>
          <w:rFonts w:ascii="Calibri" w:eastAsia="Calibri" w:hAnsi="Calibri"/>
          <w:sz w:val="22"/>
          <w:szCs w:val="22"/>
          <w:lang w:eastAsia="en-US"/>
        </w:rPr>
        <w:t>Build people’s resilience to financial adversity</w:t>
      </w:r>
    </w:p>
    <w:p w14:paraId="0DD286D4" w14:textId="77777777" w:rsidR="00D6673A" w:rsidRPr="00D6673A" w:rsidRDefault="00D6673A" w:rsidP="00D6673A">
      <w:pPr>
        <w:numPr>
          <w:ilvl w:val="0"/>
          <w:numId w:val="41"/>
        </w:numPr>
        <w:spacing w:after="160" w:line="259" w:lineRule="auto"/>
        <w:rPr>
          <w:rFonts w:ascii="Calibri" w:eastAsia="Calibri" w:hAnsi="Calibri"/>
          <w:sz w:val="22"/>
          <w:szCs w:val="22"/>
          <w:lang w:eastAsia="en-US"/>
        </w:rPr>
      </w:pPr>
      <w:r w:rsidRPr="00D6673A">
        <w:rPr>
          <w:rFonts w:ascii="Calibri" w:eastAsia="Calibri" w:hAnsi="Calibri"/>
          <w:sz w:val="22"/>
          <w:szCs w:val="22"/>
          <w:lang w:eastAsia="en-US"/>
        </w:rPr>
        <w:t>Help people achieve their financial aspirations</w:t>
      </w:r>
    </w:p>
    <w:p w14:paraId="608B25E4" w14:textId="77777777" w:rsidR="00D6673A" w:rsidRPr="00D6673A" w:rsidRDefault="00D6673A" w:rsidP="00D6673A">
      <w:pPr>
        <w:numPr>
          <w:ilvl w:val="0"/>
          <w:numId w:val="41"/>
        </w:numPr>
        <w:spacing w:after="160" w:line="259" w:lineRule="auto"/>
        <w:rPr>
          <w:rFonts w:ascii="Calibri" w:eastAsia="Calibri" w:hAnsi="Calibri"/>
          <w:sz w:val="22"/>
          <w:szCs w:val="22"/>
          <w:lang w:eastAsia="en-US"/>
        </w:rPr>
      </w:pPr>
      <w:r w:rsidRPr="00D6673A">
        <w:rPr>
          <w:rFonts w:ascii="Calibri" w:eastAsia="Calibri" w:hAnsi="Calibri"/>
          <w:sz w:val="22"/>
          <w:szCs w:val="22"/>
          <w:lang w:eastAsia="en-US"/>
        </w:rPr>
        <w:t>Enable people to maintain a decent standard of living as they grow older</w:t>
      </w:r>
    </w:p>
    <w:p w14:paraId="1A4F7CAE" w14:textId="4D4D9369" w:rsidR="00D6673A" w:rsidRPr="00EE7D38" w:rsidRDefault="00D6673A" w:rsidP="00D6673A">
      <w:pPr>
        <w:numPr>
          <w:ilvl w:val="0"/>
          <w:numId w:val="41"/>
        </w:numPr>
        <w:spacing w:after="160" w:line="259" w:lineRule="auto"/>
        <w:rPr>
          <w:rFonts w:ascii="Calibri" w:eastAsia="Calibri" w:hAnsi="Calibri"/>
          <w:sz w:val="22"/>
          <w:szCs w:val="22"/>
          <w:lang w:eastAsia="en-US"/>
        </w:rPr>
      </w:pPr>
      <w:r w:rsidRPr="00D6673A">
        <w:rPr>
          <w:rFonts w:ascii="Calibri" w:eastAsia="Calibri" w:hAnsi="Calibri"/>
          <w:sz w:val="22"/>
          <w:szCs w:val="22"/>
          <w:lang w:eastAsia="en-US"/>
        </w:rPr>
        <w:t>Contribute to economic growth through the efficient allocation of capital.</w:t>
      </w:r>
    </w:p>
    <w:p w14:paraId="1824B29E" w14:textId="131E2356" w:rsidR="00D6673A" w:rsidRPr="00D6673A" w:rsidRDefault="00D6673A" w:rsidP="00D6673A">
      <w:pPr>
        <w:spacing w:after="160" w:line="259" w:lineRule="auto"/>
        <w:rPr>
          <w:rFonts w:ascii="Calibri" w:eastAsia="Calibri" w:hAnsi="Calibri"/>
          <w:sz w:val="22"/>
          <w:szCs w:val="22"/>
          <w:lang w:eastAsia="en-US"/>
        </w:rPr>
      </w:pPr>
      <w:r w:rsidRPr="00D6673A">
        <w:rPr>
          <w:rFonts w:ascii="Calibri" w:eastAsia="Calibri" w:hAnsi="Calibri"/>
          <w:sz w:val="22"/>
          <w:szCs w:val="22"/>
          <w:lang w:eastAsia="en-US"/>
        </w:rPr>
        <w:t xml:space="preserve">The money our members manage is in a wide variety of investment vehicles including authorised investment funds, pension funds and stocks and shares ISAs. </w:t>
      </w:r>
    </w:p>
    <w:p w14:paraId="52E5087A" w14:textId="77777777" w:rsidR="00D6673A" w:rsidRPr="00D6673A" w:rsidRDefault="00D6673A" w:rsidP="00D6673A">
      <w:pPr>
        <w:spacing w:after="160" w:line="259" w:lineRule="auto"/>
        <w:rPr>
          <w:rFonts w:ascii="Calibri" w:eastAsia="Calibri" w:hAnsi="Calibri"/>
          <w:sz w:val="22"/>
          <w:szCs w:val="22"/>
          <w:lang w:eastAsia="en-US"/>
        </w:rPr>
      </w:pPr>
      <w:r w:rsidRPr="00D6673A">
        <w:rPr>
          <w:rFonts w:ascii="Calibri" w:eastAsia="Calibri" w:hAnsi="Calibri"/>
          <w:sz w:val="22"/>
          <w:szCs w:val="22"/>
          <w:lang w:eastAsia="en-US"/>
        </w:rPr>
        <w:t>The IA is registered on the EU Transparency Register, registration number 5437826103-53.</w:t>
      </w:r>
    </w:p>
    <w:p w14:paraId="37830930" w14:textId="77777777" w:rsidR="00D6673A" w:rsidRPr="00D6673A" w:rsidDel="00DC2111" w:rsidRDefault="00D6673A" w:rsidP="00D6673A">
      <w:pPr>
        <w:spacing w:after="160" w:line="259" w:lineRule="auto"/>
        <w:rPr>
          <w:rFonts w:ascii="Calibri" w:eastAsia="Calibri" w:hAnsi="Calibri"/>
          <w:b/>
          <w:bCs/>
          <w:sz w:val="22"/>
          <w:szCs w:val="22"/>
          <w:lang w:eastAsia="en-US"/>
        </w:rPr>
      </w:pPr>
    </w:p>
    <w:p w14:paraId="39043A40" w14:textId="77777777" w:rsidR="00D6673A" w:rsidRPr="00D6673A" w:rsidDel="00DC2111" w:rsidRDefault="00D6673A" w:rsidP="00D6673A">
      <w:pPr>
        <w:spacing w:after="160" w:line="259" w:lineRule="auto"/>
        <w:rPr>
          <w:rFonts w:ascii="Calibri" w:eastAsia="Calibri" w:hAnsi="Calibri"/>
          <w:b/>
          <w:bCs/>
          <w:sz w:val="22"/>
          <w:szCs w:val="22"/>
          <w:lang w:eastAsia="en-US"/>
        </w:rPr>
      </w:pPr>
      <w:r w:rsidRPr="00D6673A" w:rsidDel="00DC2111">
        <w:rPr>
          <w:rFonts w:ascii="Calibri" w:eastAsia="Calibri" w:hAnsi="Calibri"/>
          <w:b/>
          <w:bCs/>
          <w:sz w:val="22"/>
          <w:szCs w:val="22"/>
          <w:lang w:eastAsia="en-US"/>
        </w:rPr>
        <w:t>Executive summary</w:t>
      </w:r>
    </w:p>
    <w:p w14:paraId="723B6B7C" w14:textId="77777777" w:rsidR="00D6673A" w:rsidRPr="00D6673A" w:rsidRDefault="00D6673A" w:rsidP="00D6673A">
      <w:pPr>
        <w:spacing w:after="160" w:line="259" w:lineRule="auto"/>
        <w:rPr>
          <w:rFonts w:ascii="Calibri" w:eastAsia="Calibri" w:hAnsi="Calibri"/>
          <w:sz w:val="22"/>
          <w:szCs w:val="22"/>
          <w:lang w:eastAsia="en-US"/>
        </w:rPr>
      </w:pPr>
      <w:r w:rsidRPr="00D6673A">
        <w:rPr>
          <w:rFonts w:ascii="Calibri" w:eastAsia="Calibri" w:hAnsi="Calibri"/>
          <w:sz w:val="22"/>
          <w:szCs w:val="22"/>
          <w:lang w:eastAsia="en-US"/>
        </w:rPr>
        <w:t xml:space="preserve">The IA welcomes the opportunity to respond to ESMA’s Consultation Paper on Guidelines on funds’ names using ESG or sustainability-related terms. </w:t>
      </w:r>
    </w:p>
    <w:p w14:paraId="06DB2974" w14:textId="4D13047F" w:rsidR="00D6673A" w:rsidRPr="00D6673A" w:rsidRDefault="00D6673A" w:rsidP="00D6673A">
      <w:pPr>
        <w:spacing w:after="160" w:line="259" w:lineRule="auto"/>
        <w:rPr>
          <w:rFonts w:ascii="Calibri" w:eastAsia="Calibri" w:hAnsi="Calibri"/>
          <w:sz w:val="22"/>
          <w:szCs w:val="22"/>
          <w:lang w:eastAsia="en-US"/>
        </w:rPr>
      </w:pPr>
      <w:r w:rsidRPr="00D6673A">
        <w:rPr>
          <w:rFonts w:ascii="Calibri" w:eastAsia="Calibri" w:hAnsi="Calibri"/>
          <w:sz w:val="22"/>
          <w:szCs w:val="22"/>
          <w:lang w:eastAsia="en-US"/>
        </w:rPr>
        <w:t xml:space="preserve">Investment managers are committed to bringing clarity, transparency and consistency to the way industry describes and delivers sustainable and responsible investment products to clients. It is this commitment to clients and client outcomes that has dominated investment managers’ thinking and work on all aspects of implementing SFDR over the last few years as well as requirements in other jurisdictions and obligations at national level. We recognise that product names are a critical first step in communicating </w:t>
      </w:r>
      <w:r w:rsidRPr="00D6673A">
        <w:rPr>
          <w:rFonts w:ascii="Calibri" w:eastAsia="Calibri" w:hAnsi="Calibri"/>
          <w:sz w:val="22"/>
          <w:szCs w:val="22"/>
          <w:lang w:eastAsia="en-US"/>
        </w:rPr>
        <w:lastRenderedPageBreak/>
        <w:t xml:space="preserve">with clients some of the product’s features and it is in that spirit that we provide the answers to the questions posed in the consultation paper. </w:t>
      </w:r>
    </w:p>
    <w:p w14:paraId="3168DE01" w14:textId="242C6F43" w:rsidR="00D6673A" w:rsidRPr="00D6673A" w:rsidRDefault="00D6673A" w:rsidP="00D6673A">
      <w:pPr>
        <w:spacing w:after="160" w:line="259" w:lineRule="auto"/>
        <w:rPr>
          <w:rFonts w:ascii="Calibri" w:eastAsia="Calibri" w:hAnsi="Calibri"/>
          <w:sz w:val="22"/>
          <w:szCs w:val="22"/>
          <w:lang w:eastAsia="en-US"/>
        </w:rPr>
      </w:pPr>
      <w:r w:rsidRPr="00D6673A">
        <w:rPr>
          <w:rFonts w:ascii="Calibri" w:eastAsia="Calibri" w:hAnsi="Calibri"/>
          <w:sz w:val="22"/>
          <w:szCs w:val="22"/>
          <w:lang w:eastAsia="en-US"/>
        </w:rPr>
        <w:t xml:space="preserve">The key points we would like to make are: </w:t>
      </w:r>
    </w:p>
    <w:p w14:paraId="1F199BDD" w14:textId="77777777" w:rsidR="00D6673A" w:rsidRPr="00D6673A" w:rsidRDefault="00D6673A" w:rsidP="00D6673A">
      <w:pPr>
        <w:numPr>
          <w:ilvl w:val="0"/>
          <w:numId w:val="42"/>
        </w:numPr>
        <w:spacing w:after="160" w:line="259" w:lineRule="auto"/>
        <w:rPr>
          <w:rFonts w:ascii="Calibri" w:eastAsia="Calibri" w:hAnsi="Calibri"/>
          <w:sz w:val="22"/>
          <w:szCs w:val="22"/>
          <w:lang w:eastAsia="en-US"/>
        </w:rPr>
      </w:pPr>
      <w:r w:rsidRPr="00D6673A">
        <w:rPr>
          <w:rFonts w:ascii="Calibri" w:eastAsia="Calibri" w:hAnsi="Calibri"/>
          <w:sz w:val="22"/>
          <w:szCs w:val="22"/>
          <w:lang w:eastAsia="en-US"/>
        </w:rPr>
        <w:t>In principle, we find the use of quantitative thresholds appropriate when there is a common criteria for how to determine the thresholds. However, this is not the case for funds disclosing under SFDR Article 8 and 9 funds, where each fund has the ability to define the criteria for the threshold. We therefore do not think that quantitative thresholds proposed by ESMA will promote comparability between funds.</w:t>
      </w:r>
    </w:p>
    <w:p w14:paraId="347D3C69" w14:textId="77777777" w:rsidR="00D6673A" w:rsidRPr="00D6673A" w:rsidRDefault="00D6673A" w:rsidP="00D6673A">
      <w:pPr>
        <w:numPr>
          <w:ilvl w:val="0"/>
          <w:numId w:val="42"/>
        </w:numPr>
        <w:spacing w:after="160" w:line="259" w:lineRule="auto"/>
        <w:rPr>
          <w:rFonts w:ascii="Calibri" w:eastAsia="Calibri" w:hAnsi="Calibri"/>
          <w:sz w:val="22"/>
          <w:szCs w:val="22"/>
          <w:lang w:eastAsia="en-US"/>
        </w:rPr>
      </w:pPr>
      <w:r w:rsidRPr="00D6673A">
        <w:rPr>
          <w:rFonts w:ascii="Calibri" w:eastAsia="Calibri" w:hAnsi="Calibri"/>
          <w:sz w:val="22"/>
          <w:szCs w:val="22"/>
          <w:lang w:eastAsia="en-US"/>
        </w:rPr>
        <w:t>Given we do not support the setting of quantitative thresholds for sustainable investments in advance of agreed eligibility criteria for sustainable investments, at this time we do not support the proposed threshold of 80% linked solely to the fund’s name.</w:t>
      </w:r>
    </w:p>
    <w:p w14:paraId="43835ACA" w14:textId="77777777" w:rsidR="00D6673A" w:rsidRPr="00D6673A" w:rsidRDefault="00D6673A" w:rsidP="00D6673A">
      <w:pPr>
        <w:numPr>
          <w:ilvl w:val="0"/>
          <w:numId w:val="42"/>
        </w:numPr>
        <w:spacing w:after="160" w:line="259" w:lineRule="auto"/>
        <w:rPr>
          <w:rFonts w:ascii="Calibri" w:eastAsia="Calibri" w:hAnsi="Calibri"/>
          <w:sz w:val="22"/>
          <w:szCs w:val="22"/>
          <w:lang w:eastAsia="en-US"/>
        </w:rPr>
      </w:pPr>
      <w:r w:rsidRPr="00D6673A">
        <w:rPr>
          <w:rFonts w:ascii="Calibri" w:eastAsia="Calibri" w:hAnsi="Calibri"/>
          <w:sz w:val="22"/>
          <w:szCs w:val="22"/>
          <w:lang w:eastAsia="en-US"/>
        </w:rPr>
        <w:t xml:space="preserve">We have concerns around the additional threshold of ‘at least 50% of minimum proportion of sustainable investments for the use of the word ‘sustainable’ or any other sustainability-related term. It is unclear why is there a need to differentiate between the use of the term ‘sustainable’ as opposed to other ‘ESG-related’ terms, and under which of the headings such terms would fall. </w:t>
      </w:r>
    </w:p>
    <w:p w14:paraId="213EDEA3" w14:textId="77777777" w:rsidR="00D6673A" w:rsidRPr="00D6673A" w:rsidRDefault="00D6673A" w:rsidP="00D6673A">
      <w:pPr>
        <w:numPr>
          <w:ilvl w:val="0"/>
          <w:numId w:val="42"/>
        </w:numPr>
        <w:spacing w:after="160" w:line="259" w:lineRule="auto"/>
        <w:rPr>
          <w:rFonts w:ascii="Calibri" w:eastAsia="Calibri" w:hAnsi="Calibri"/>
          <w:sz w:val="22"/>
          <w:szCs w:val="22"/>
          <w:lang w:eastAsia="en-US"/>
        </w:rPr>
      </w:pPr>
      <w:r w:rsidRPr="00D6673A">
        <w:rPr>
          <w:rFonts w:ascii="Calibri" w:eastAsia="Calibri" w:hAnsi="Calibri"/>
          <w:sz w:val="22"/>
          <w:szCs w:val="22"/>
          <w:lang w:eastAsia="en-US"/>
        </w:rPr>
        <w:t xml:space="preserve">While we understand the logic behind creating minimum exclusions, we believe the minimum safeguards should apply consistently with those prescribed in SFDR, rather than introducing further complexity. </w:t>
      </w:r>
    </w:p>
    <w:p w14:paraId="08C6541E" w14:textId="4BFF2636" w:rsidR="00B92885" w:rsidRPr="008F488C" w:rsidRDefault="00D6673A" w:rsidP="00D6673A">
      <w:pPr>
        <w:numPr>
          <w:ilvl w:val="0"/>
          <w:numId w:val="42"/>
        </w:numPr>
        <w:spacing w:after="160" w:line="259" w:lineRule="auto"/>
        <w:rPr>
          <w:rFonts w:ascii="Calibri" w:eastAsia="Calibri" w:hAnsi="Calibri"/>
          <w:sz w:val="22"/>
          <w:szCs w:val="22"/>
          <w:lang w:eastAsia="en-US"/>
        </w:rPr>
      </w:pPr>
      <w:r w:rsidRPr="00D6673A">
        <w:rPr>
          <w:rFonts w:ascii="Calibri" w:eastAsia="Calibri" w:hAnsi="Calibri"/>
          <w:sz w:val="22"/>
          <w:szCs w:val="22"/>
          <w:lang w:eastAsia="en-US"/>
        </w:rPr>
        <w:t xml:space="preserve">Members have expressed concerns about the length of the transitional period: six months is not enough time to implement the name changes or adapt portfolios to abide with the proposed guidelines and we are therefore suggesting a transition period of at least 12 months. </w:t>
      </w: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200ED172" w14:textId="0139F7CC" w:rsidR="006D7234" w:rsidRPr="006D7234" w:rsidRDefault="006D7234" w:rsidP="006D7234">
      <w:permStart w:id="1596738700" w:edGrp="everyone"/>
      <w:r w:rsidRPr="006D7234">
        <w:t xml:space="preserve">As we outline above, investment managers are committed to bringing clarity, transparency and consistency to the way industry describes and delivers sustainable and responsible investment products to clients. </w:t>
      </w:r>
    </w:p>
    <w:p w14:paraId="7385B510" w14:textId="77777777" w:rsidR="006D7234" w:rsidRPr="006D7234" w:rsidRDefault="006D7234" w:rsidP="006D7234"/>
    <w:p w14:paraId="6B802C8F" w14:textId="77777777" w:rsidR="006D7234" w:rsidRPr="006D7234" w:rsidRDefault="006D7234" w:rsidP="006D7234">
      <w:r w:rsidRPr="006D7234">
        <w:t>In principle, we find the use of quantitative thresholds appropriate when there is a common criteria for how to determine the thresholds, for example when creating a fund labelling system. However, this is not the case for funds disclosing under SFDR Article 8 and 9 funds, where each fund has the ability to define the criteria for the threshold. We therefore do not think that the thresholds proposed by ESMA will promote comparability between funds.</w:t>
      </w:r>
    </w:p>
    <w:p w14:paraId="2F3A4CA2" w14:textId="77777777" w:rsidR="006D7234" w:rsidRPr="006D7234" w:rsidRDefault="006D7234" w:rsidP="006D7234"/>
    <w:p w14:paraId="6A9A9EDE" w14:textId="77777777" w:rsidR="006D7234" w:rsidRPr="006D7234" w:rsidRDefault="006D7234" w:rsidP="006D7234">
      <w:r w:rsidRPr="006D7234">
        <w:t xml:space="preserve">Moreover, it is our view that setting thresholds linked to fund names is not an appropriate way to tackle a diversified universe of investment funds and strategies. We question the premise of setting quantitative thresholds linked to funds’ names without consideration for the strategy and policy of the fund or in the absence of, for example, further definition of key terms such as “ESG”, “sustainability” and “impact”. We are concerned that this could lead to further inconsistency in how ESG legislation is applied across the market and may lead to confusion for both institutional and retail investors. </w:t>
      </w:r>
    </w:p>
    <w:p w14:paraId="48CD9772" w14:textId="77777777" w:rsidR="006D7234" w:rsidRPr="006D7234" w:rsidRDefault="006D7234" w:rsidP="006D7234"/>
    <w:p w14:paraId="1237C05E" w14:textId="77777777" w:rsidR="006D7234" w:rsidRPr="006D7234" w:rsidRDefault="006D7234" w:rsidP="006D7234">
      <w:r w:rsidRPr="006D7234">
        <w:t xml:space="preserve">We understand and support the key aim of ESMA’s proposals to address greenwashing risks and enhance comparability, but it is our view that at this stage there needs to be a pragmatic implementation of the rules. As such, it is our preference for the guidelines to mirror ESMA’s supervisory guidance on sustainability risks and disclosures in the area of investment management which states that ESG-related terms should only be used when supported in a material way by evidence of sustainability characteristics, themes or objectives that are reflected fairly and consistently in the fund’s investment objectives and policy and its strategy as described in the regulatory fund documentation. </w:t>
      </w:r>
    </w:p>
    <w:p w14:paraId="7FDB825A" w14:textId="77777777" w:rsidR="006D7234" w:rsidRPr="006D7234" w:rsidRDefault="006D7234" w:rsidP="006D7234"/>
    <w:p w14:paraId="2324BD58" w14:textId="77777777" w:rsidR="006D7234" w:rsidRPr="006D7234" w:rsidRDefault="006D7234" w:rsidP="006D7234">
      <w:r w:rsidRPr="006D7234">
        <w:t xml:space="preserve">To enhance investors’ understanding and demonstrate how the ESG claims a fund is making using specific terms in its name are substantiated, we suggest that any fund using ESG terms in its name should demonstrate in a clear way the investment process together with the ESG binding elements that substantiate these claims in its name. </w:t>
      </w:r>
    </w:p>
    <w:p w14:paraId="53809C2E" w14:textId="77777777" w:rsidR="006D7234" w:rsidRPr="006D7234" w:rsidRDefault="006D7234" w:rsidP="006D7234"/>
    <w:p w14:paraId="07F467EE" w14:textId="77777777" w:rsidR="006D7234" w:rsidRPr="006D7234" w:rsidRDefault="006D7234" w:rsidP="006D7234">
      <w:r w:rsidRPr="006D7234">
        <w:t xml:space="preserve">Furthermore, we acknowledge ESMA’s comments at the 23 January Open Hearing regarding its hesitation to publish a definitive list of terms that would be considered ESG or a sustainability-related term for fear of regulatory arbitrage. However, we suggest that some level of guidance from ESMA is needed around key terms that ESMA deem are “sustainability-related”. This would provide investment managers with more clarity to accurately implement ESMA’s requirements. For example, the term “responsible” is widely used in fund names that are pursuing strategies that go beyond ESG integration but it is unclear whether that would be deemed to be an ESG-related term as per the draft guidelines. The term “solutions” could arguably be both ESG and impact related. Whilst some members don’t consider the term “SDG” to be impact-related, others disagree. </w:t>
      </w:r>
    </w:p>
    <w:p w14:paraId="4643D96C" w14:textId="77777777" w:rsidR="006D7234" w:rsidRPr="006D7234" w:rsidRDefault="006D7234" w:rsidP="006D7234"/>
    <w:p w14:paraId="33F8D469" w14:textId="77777777" w:rsidR="006D7234" w:rsidRPr="006D7234" w:rsidRDefault="006D7234" w:rsidP="006D7234">
      <w:r w:rsidRPr="006D7234">
        <w:t xml:space="preserve">Some members, although not all, believe that the publication of a non-exhaustive list would help avoid fragmentation between how National Competent Authorities will be implementing the proposed guidelines, including the threshold. </w:t>
      </w:r>
    </w:p>
    <w:p w14:paraId="6BF98141" w14:textId="77777777" w:rsidR="006D7234" w:rsidRPr="006D7234" w:rsidRDefault="006D7234" w:rsidP="006D7234"/>
    <w:p w14:paraId="5DE094E5" w14:textId="77777777" w:rsidR="006D7234" w:rsidRPr="006D7234" w:rsidRDefault="006D7234" w:rsidP="006D7234">
      <w:r w:rsidRPr="006D7234">
        <w:t xml:space="preserve">If ESMA proceeds with having an additional threshold for funds using sustainability-related terms in their names, it will be more important that a list is published as it is currently unclear in which categories terms such as “SDG”, “Paris-aligned” and “net-zero” would fit and as a result it is unclear whether a fund using one of these terms in its name will need to meet both thresholds or just the 80%.   </w:t>
      </w:r>
    </w:p>
    <w:p w14:paraId="0BBCFFD1" w14:textId="77777777" w:rsidR="006D7234" w:rsidRPr="006D7234" w:rsidRDefault="006D7234" w:rsidP="006D7234"/>
    <w:p w14:paraId="6CAEBA9B" w14:textId="77777777" w:rsidR="006D7234" w:rsidRPr="006D7234" w:rsidRDefault="006D7234" w:rsidP="006D7234">
      <w:r w:rsidRPr="006D7234">
        <w:t xml:space="preserve">Below we explore some further concerns we have with the concept of quantitative thresholds: </w:t>
      </w:r>
    </w:p>
    <w:p w14:paraId="0639C9AB" w14:textId="77777777" w:rsidR="006D7234" w:rsidRPr="006D7234" w:rsidRDefault="006D7234" w:rsidP="006D7234"/>
    <w:p w14:paraId="71FA5440" w14:textId="645AA340" w:rsidR="006D7234" w:rsidRPr="006D7234" w:rsidRDefault="006D7234" w:rsidP="006D7234">
      <w:pPr>
        <w:rPr>
          <w:b/>
          <w:bCs/>
          <w:i/>
          <w:iCs/>
        </w:rPr>
      </w:pPr>
      <w:r w:rsidRPr="006D7234">
        <w:rPr>
          <w:b/>
          <w:bCs/>
          <w:i/>
          <w:iCs/>
        </w:rPr>
        <w:t xml:space="preserve">Equity focus and difficulties for multi-asset funds  </w:t>
      </w:r>
    </w:p>
    <w:p w14:paraId="2B7EFEC2" w14:textId="77777777" w:rsidR="006D7234" w:rsidRPr="006D7234" w:rsidRDefault="006D7234" w:rsidP="006D7234">
      <w:r w:rsidRPr="006D7234">
        <w:lastRenderedPageBreak/>
        <w:t>ESMA’s draft guidelines create significant focus on equity due to the requirement to meet specific thresholds. Multi-asset funds and/or fixed income funds are likely to contain assets including government bonds, and in particular, cash. The use of any threshold will effectively place a cap on these assets, e.g. if meeting the 80% threshold, there is, in effect, a 20% cap on cash. In a situation where the market is falling and the 80% is becoming a smaller proportion of NAV and cash is stable, members will be forced to maintain the 80% even if it is not financially in the investors’ best interests.</w:t>
      </w:r>
    </w:p>
    <w:p w14:paraId="42001458" w14:textId="77777777" w:rsidR="006D7234" w:rsidRPr="006D7234" w:rsidRDefault="006D7234" w:rsidP="006D7234"/>
    <w:p w14:paraId="181952D5" w14:textId="57B53169" w:rsidR="006D7234" w:rsidRPr="006D7234" w:rsidRDefault="006D7234" w:rsidP="006D7234">
      <w:pPr>
        <w:rPr>
          <w:b/>
          <w:bCs/>
          <w:i/>
          <w:iCs/>
        </w:rPr>
      </w:pPr>
      <w:r w:rsidRPr="006D7234">
        <w:rPr>
          <w:b/>
          <w:bCs/>
          <w:i/>
          <w:iCs/>
        </w:rPr>
        <w:t xml:space="preserve">Regulatory coherence across SFDR and MiFID </w:t>
      </w:r>
    </w:p>
    <w:p w14:paraId="1E8B6735" w14:textId="77777777" w:rsidR="006D7234" w:rsidRPr="006D7234" w:rsidRDefault="006D7234" w:rsidP="006D7234">
      <w:r w:rsidRPr="006D7234">
        <w:t>There is significant concern that ESMA’s proposed approach would create a disconnect with the MiFID II sustainability preferences regime by discriminating against other allowable approaches, such as qualitative and/or quantitative consideration of Principal Adverse Impacts (PAIs). Ultimately, any naming guidelines should clearly match the features and thresholds within the fund range, and at the moment, the only clear guidance on what can be marketed as ‘sustainable’ in the EU is set out in MIFID II Delegated Acts. This applies across the use of all names, for example ESG and sustainable names, and any enhancements on these thresholds should be first embedded in minimum thresholds for Article 8 and 9 funds under SFDR or European labels, in consultation with industry, before being reflected in ESMA’s proposed naming guidelines.</w:t>
      </w:r>
    </w:p>
    <w:p w14:paraId="65032E13" w14:textId="77777777" w:rsidR="006D7234" w:rsidRPr="006D7234" w:rsidRDefault="006D7234" w:rsidP="006D7234"/>
    <w:p w14:paraId="460B763A" w14:textId="77777777" w:rsidR="006D7234" w:rsidRPr="006D7234" w:rsidRDefault="006D7234" w:rsidP="006D7234">
      <w:r w:rsidRPr="006D7234">
        <w:t>The IA has long been a strong proponent of global regulatory coherence and harmonisation of sustainable finance rules due to the global nature of the investment management industry. Uncoordinated approaches will make implementation of these guidelines challenging for investment managers and will create significant investor confusion. We would encourage ESMA to look closely at how these proposals sit amongst existing threshold requirements at national level and emerging threshold requirements in other non-EU jurisdictions.</w:t>
      </w:r>
    </w:p>
    <w:p w14:paraId="40C37B6B" w14:textId="77777777" w:rsidR="006D7234" w:rsidRPr="006D7234" w:rsidRDefault="006D7234" w:rsidP="006D7234"/>
    <w:p w14:paraId="26628460" w14:textId="77777777" w:rsidR="006D7234" w:rsidRPr="006D7234" w:rsidRDefault="006D7234" w:rsidP="006D7234">
      <w:r w:rsidRPr="006D7234">
        <w:t>Alternatively, one suggested solution is that funds with sustainability-related terms in funds’ names should have the option of meeting one or a combination of the MiFID sustainability preferences criteria. For example, this could take the form of the following:</w:t>
      </w:r>
    </w:p>
    <w:p w14:paraId="2C7D1BD0" w14:textId="77777777" w:rsidR="006D7234" w:rsidRPr="006D7234" w:rsidRDefault="006D7234" w:rsidP="006D7234">
      <w:pPr>
        <w:rPr>
          <w:b/>
          <w:bCs/>
          <w:u w:val="single"/>
        </w:rPr>
      </w:pPr>
    </w:p>
    <w:p w14:paraId="56A0B23C" w14:textId="77777777" w:rsidR="006D7234" w:rsidRPr="006D7234" w:rsidRDefault="006D7234" w:rsidP="006D7234">
      <w:pPr>
        <w:numPr>
          <w:ilvl w:val="0"/>
          <w:numId w:val="43"/>
        </w:numPr>
        <w:rPr>
          <w:b/>
          <w:bCs/>
          <w:u w:val="single"/>
        </w:rPr>
      </w:pPr>
      <w:r w:rsidRPr="006D7234">
        <w:t>Consideration of one of more PAIs, qualitative through the use of exclusions, controversies or engagements, as per ESMA’s guidelines or quantitatively.</w:t>
      </w:r>
    </w:p>
    <w:p w14:paraId="6DE2800F" w14:textId="77777777" w:rsidR="006D7234" w:rsidRPr="006D7234" w:rsidRDefault="006D7234" w:rsidP="006D7234">
      <w:pPr>
        <w:numPr>
          <w:ilvl w:val="0"/>
          <w:numId w:val="43"/>
        </w:numPr>
        <w:rPr>
          <w:b/>
          <w:bCs/>
          <w:u w:val="single"/>
        </w:rPr>
      </w:pPr>
      <w:r w:rsidRPr="006D7234">
        <w:t xml:space="preserve">A minimum commitment to sustainable investments. If ESMA’s preference is to set a numerical threshold we believe that this should not be set well above what current market standard is (as per Morningstar analysis) and would need to be reviewed in light of any changes from the European Commission.  </w:t>
      </w:r>
    </w:p>
    <w:p w14:paraId="2557BE9B" w14:textId="77777777" w:rsidR="006D7234" w:rsidRPr="006D7234" w:rsidRDefault="006D7234" w:rsidP="006D7234">
      <w:pPr>
        <w:numPr>
          <w:ilvl w:val="0"/>
          <w:numId w:val="43"/>
        </w:numPr>
        <w:rPr>
          <w:b/>
          <w:bCs/>
          <w:u w:val="single"/>
        </w:rPr>
      </w:pPr>
      <w:r w:rsidRPr="006D7234">
        <w:t xml:space="preserve">A minimum commitment to the EU Taxonomy, with level to be reviewed on an on-going basis as the sustainable investment market evolves and matures with similar threshold measures to above point two. </w:t>
      </w:r>
    </w:p>
    <w:p w14:paraId="3237FD3A" w14:textId="77777777" w:rsidR="006D7234" w:rsidRPr="006D7234" w:rsidRDefault="006D7234" w:rsidP="006D7234">
      <w:pPr>
        <w:rPr>
          <w:b/>
          <w:bCs/>
          <w:u w:val="single"/>
        </w:rPr>
      </w:pPr>
    </w:p>
    <w:p w14:paraId="28FA6766" w14:textId="77777777" w:rsidR="006D7234" w:rsidRPr="006D7234" w:rsidRDefault="006D7234" w:rsidP="006D7234">
      <w:pPr>
        <w:rPr>
          <w:b/>
          <w:bCs/>
          <w:i/>
          <w:iCs/>
        </w:rPr>
      </w:pPr>
      <w:r w:rsidRPr="006D7234">
        <w:rPr>
          <w:b/>
          <w:bCs/>
          <w:i/>
          <w:iCs/>
        </w:rPr>
        <w:t xml:space="preserve">Transitioning assets </w:t>
      </w:r>
    </w:p>
    <w:p w14:paraId="043F3971" w14:textId="30A6ECDD" w:rsidR="00B92885" w:rsidRDefault="006D7234" w:rsidP="00B92885">
      <w:r w:rsidRPr="006D7234">
        <w:t>Finally, setting specific thresholds doesn’t take in to account funds with assets that are improving on a forward-looking basis, i.e. it is suggested that the wording currently under point 15a is changed to ‘a fund with ESG-related words in its name should have a minimum proportion of at least X% of investments to meet the E/S characteristics or demonstrate sound prospects for improvement in these areas as determined by the investment manager’.</w:t>
      </w: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2E8256C8" w14:textId="5AA15DCB" w:rsidR="00714AF4" w:rsidRPr="00714AF4" w:rsidRDefault="00714AF4" w:rsidP="00714AF4">
      <w:permStart w:id="1305634831" w:edGrp="everyone"/>
      <w:r w:rsidRPr="00714AF4">
        <w:t xml:space="preserve">We fully support the need to ensure that funds with ESG-related names invest primarily in assets that meet the product’s ESG characteristics, therefore preventing greenwashing and, as stated above, we support the setting of thresholds linked to a product’s ESG and/or sustainable characteristics where there is a clear sustainable criteria. Given that is not the case here, we do not support the setting of quantitative </w:t>
      </w:r>
      <w:r w:rsidRPr="00714AF4">
        <w:lastRenderedPageBreak/>
        <w:t>thresholds for sustainable investments in advance of agreed eligibility criteria for sustainable investments and therefore do no support the proposed threshold of 80%.</w:t>
      </w:r>
    </w:p>
    <w:p w14:paraId="594810F2" w14:textId="77777777" w:rsidR="00714AF4" w:rsidRPr="00714AF4" w:rsidRDefault="00714AF4" w:rsidP="00714AF4"/>
    <w:p w14:paraId="3CBEE908" w14:textId="77777777" w:rsidR="00714AF4" w:rsidRPr="00714AF4" w:rsidRDefault="00714AF4" w:rsidP="00714AF4">
      <w:r w:rsidRPr="00714AF4">
        <w:t xml:space="preserve">It should be noted that in our recent response to the UK Financial Conduct Authority’s consultation on creating a Sustainable Disclosure Requirements and investment labels, for its proposed Sustainable Focus label, we support that at least 70% of a ‘sustainable focus’ product’s assets must meet a credible standard of environmental and/or social sustainability, or align with a specified environmental and/or social sustainability theme.  In the FCA’s case, the threshold of 70% is based on assets that meet a sustainability criteria which is not the case with the proposed ESMA threshold. </w:t>
      </w:r>
    </w:p>
    <w:p w14:paraId="02FEBEF0" w14:textId="77777777" w:rsidR="00714AF4" w:rsidRPr="00714AF4" w:rsidRDefault="00714AF4" w:rsidP="00714AF4"/>
    <w:p w14:paraId="01EFA74D" w14:textId="77777777" w:rsidR="00714AF4" w:rsidRPr="00714AF4" w:rsidRDefault="00714AF4" w:rsidP="00714AF4">
      <w:r w:rsidRPr="00714AF4">
        <w:t>Based on our views in question 1, we make the following additional points.</w:t>
      </w:r>
    </w:p>
    <w:p w14:paraId="61F1EB99" w14:textId="77777777" w:rsidR="00714AF4" w:rsidRPr="00714AF4" w:rsidRDefault="00714AF4" w:rsidP="00714AF4"/>
    <w:p w14:paraId="18E82705" w14:textId="77777777" w:rsidR="00714AF4" w:rsidRPr="00714AF4" w:rsidRDefault="00714AF4" w:rsidP="00714AF4">
      <w:pPr>
        <w:rPr>
          <w:b/>
          <w:bCs/>
        </w:rPr>
      </w:pPr>
      <w:r w:rsidRPr="00714AF4">
        <w:t xml:space="preserve">We request clarification on what underlying evidence ESMA has used to justify an 80% threshold. As mentioned in our answer to question 1, this threshold could be particularly challenging to achieve for a range of asset classes, in particular multi-asset products. Furthermore, for </w:t>
      </w:r>
      <w:r w:rsidRPr="00714AF4">
        <w:rPr>
          <w:b/>
          <w:bCs/>
        </w:rPr>
        <w:t>synthetically-replicated passive funds</w:t>
      </w:r>
      <w:r w:rsidRPr="00714AF4">
        <w:t xml:space="preserve"> it should be made clear that the focus is on the exposure of the fund, rather than purely investments.</w:t>
      </w:r>
    </w:p>
    <w:p w14:paraId="1D2D9FDE" w14:textId="77777777" w:rsidR="00714AF4" w:rsidRPr="00714AF4" w:rsidRDefault="00714AF4" w:rsidP="00714AF4">
      <w:pPr>
        <w:rPr>
          <w:b/>
          <w:bCs/>
        </w:rPr>
      </w:pPr>
    </w:p>
    <w:p w14:paraId="7A5AD233" w14:textId="77777777" w:rsidR="00714AF4" w:rsidRPr="00714AF4" w:rsidRDefault="00714AF4" w:rsidP="00714AF4">
      <w:r w:rsidRPr="00714AF4">
        <w:t>Should ESMA continue with the proposed approach of setting thresholds, some IA members suggest that the 80% threshold should be calculated on the non-cash assets of the portfolio and there needs to be a clear distinction between how this calculation is applied to funds that set KPIs at an asset level versus funds that set KPIs at a portfolio level. Those members believe that a fund setting KPIs at an asset level (for example this could be a fund that require assets to be below a given carbon intensity or above a certain ESG score) should ensure that 80% of their non-cash assets meet this requirement. However, for funds setting KPIs at the portfolio level (for example a fund that targets carbon intensity to be below the benchmark, or that the ESG score is above a benchmark), 100% of the non-cash assets should be considered as meeting the threshold (and therefore meeting the 80% threshold test) as long as the fund itself is meeting these overall portfolio targets.</w:t>
      </w:r>
    </w:p>
    <w:p w14:paraId="093EE478" w14:textId="77777777" w:rsidR="00714AF4" w:rsidRPr="00714AF4" w:rsidRDefault="00714AF4" w:rsidP="00714AF4"/>
    <w:p w14:paraId="7BED3590" w14:textId="580533CE" w:rsidR="00B92885" w:rsidRDefault="00714AF4" w:rsidP="00B92885">
      <w:r w:rsidRPr="00714AF4">
        <w:t xml:space="preserve">Lastly, members have previously faced challenges under SFDR with regards to </w:t>
      </w:r>
      <w:r w:rsidRPr="00714AF4">
        <w:rPr>
          <w:b/>
          <w:bCs/>
        </w:rPr>
        <w:t>closed-ended funds primarily invested in private markets,</w:t>
      </w:r>
      <w:r w:rsidRPr="00714AF4">
        <w:t xml:space="preserve"> as the rules require the disclosure of a minimum proportion of investments to be met at all times based on NAV. However, these funds will typically perform an initial fund raising and therefore contain a significant amount of cash before deploying their capital. Again, should ESMA continue with the route of thresholds, we would recommend that the 80% either be calculated on the basis of the total investments (excluding assets for liquidity purposes (e.g. cash and cash equivalents), hedging or efficient portfolio management) or be applied pragmatically for such funds in the scaling-up phase until they are fully invested.</w:t>
      </w:r>
    </w:p>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70D55987" w14:textId="4298F0A5" w:rsidR="007A72CD" w:rsidRPr="007A72CD" w:rsidRDefault="007A72CD" w:rsidP="007A72CD">
      <w:permStart w:id="347949177" w:edGrp="everyone"/>
      <w:r w:rsidRPr="007A72CD">
        <w:t xml:space="preserve">It is unclear why is there a need to differentiate between the use of the term ‘sustainable’ as opposed to other ‘ESG-related’ terms, and under which of the headings such terms would fall. For example, one member has funds with ‘SDG-Engagement’ in their name that do not commit to a certain percentage of sustainable investments. As mentioned above, as ‘SDG’ is not explicitly mentioned as a term in ESMA’s draft guidelines, it is unclear whether ESMA thinks it’s a sustainability-related term or an ESG-related term. Whilst it is assumed that as a standalone word ‘SDG’ would be considered sustainability-related, the meaning of this changes when the term is combined with ‘engagement’. Clarity is required as to which threshold this term – and others – would sit under. </w:t>
      </w:r>
    </w:p>
    <w:p w14:paraId="43D88814" w14:textId="77777777" w:rsidR="007A72CD" w:rsidRPr="007A72CD" w:rsidRDefault="007A72CD" w:rsidP="007A72CD"/>
    <w:p w14:paraId="64E940CE" w14:textId="77777777" w:rsidR="007A72CD" w:rsidRPr="007A72CD" w:rsidRDefault="007A72CD" w:rsidP="007A72CD">
      <w:r w:rsidRPr="007A72CD">
        <w:lastRenderedPageBreak/>
        <w:t xml:space="preserve">As also stated above, we fully agree with the need to ensure that funds with ESG and sustainability related terms in fund names invest primarily in assets that meet the product’s ESG or sustainable characteristics. However, it is not clear why ESMA feels it is necessary to set different thresholds depending on what sustainability-related term is being used in the fund name. Members have expressed a number of concerns around the additional threshold of ‘at least 50% of minimum proportion of sustainable investments for the use of the word “sustainable” or any other sustainability-related term’. </w:t>
      </w:r>
    </w:p>
    <w:p w14:paraId="6367FAFF" w14:textId="77777777" w:rsidR="007A72CD" w:rsidRPr="007A72CD" w:rsidRDefault="007A72CD" w:rsidP="007A72CD"/>
    <w:p w14:paraId="2714F283" w14:textId="77777777" w:rsidR="007A72CD" w:rsidRPr="007A72CD" w:rsidRDefault="007A72CD" w:rsidP="007A72CD">
      <w:r w:rsidRPr="007A72CD">
        <w:t>There are a number of current challenges with the term ‘sustainable investments’ which are:</w:t>
      </w:r>
    </w:p>
    <w:p w14:paraId="69A85850" w14:textId="77777777" w:rsidR="007A72CD" w:rsidRPr="007A72CD" w:rsidRDefault="007A72CD" w:rsidP="007A72CD"/>
    <w:p w14:paraId="7A50F543" w14:textId="77777777" w:rsidR="007A72CD" w:rsidRPr="007A72CD" w:rsidRDefault="007A72CD" w:rsidP="007A72CD">
      <w:pPr>
        <w:numPr>
          <w:ilvl w:val="0"/>
          <w:numId w:val="44"/>
        </w:numPr>
      </w:pPr>
      <w:r w:rsidRPr="007A72CD">
        <w:t>variance in definitions of ‘Sustainable Investments’ across managers and others, ranging from managers making discretionary assessments based on views of investment teams, assessing based on revenue linked to Sustainable Development Goals (SDGs) or linking to SBTIs;</w:t>
      </w:r>
    </w:p>
    <w:p w14:paraId="0EDE0361" w14:textId="77777777" w:rsidR="007A72CD" w:rsidRPr="007A72CD" w:rsidRDefault="007A72CD" w:rsidP="007A72CD">
      <w:pPr>
        <w:numPr>
          <w:ilvl w:val="0"/>
          <w:numId w:val="44"/>
        </w:numPr>
      </w:pPr>
      <w:r w:rsidRPr="007A72CD">
        <w:t>even across managers using the same definition of ‘Sustainable Investments’, the variance in data available to assess whether investments are ‘Sustainable Investments’ creates different outcomes for what could be defined as a ‘Sustainable Investment’; and</w:t>
      </w:r>
    </w:p>
    <w:p w14:paraId="76345369" w14:textId="77777777" w:rsidR="007A72CD" w:rsidRPr="007A72CD" w:rsidRDefault="007A72CD" w:rsidP="007A72CD">
      <w:pPr>
        <w:numPr>
          <w:ilvl w:val="0"/>
          <w:numId w:val="44"/>
        </w:numPr>
      </w:pPr>
      <w:r w:rsidRPr="007A72CD">
        <w:t xml:space="preserve">the definition of ‘Sustainable Investments’ could still be subject to regulatory change depending on how the European Commission responds to the ESA’s request for a standardised definition of the term ‘Sustainable Investments’. </w:t>
      </w:r>
    </w:p>
    <w:p w14:paraId="5070E5AB" w14:textId="77777777" w:rsidR="007A72CD" w:rsidRPr="007A72CD" w:rsidRDefault="007A72CD" w:rsidP="007A72CD"/>
    <w:p w14:paraId="1627BB26" w14:textId="77777777" w:rsidR="007A72CD" w:rsidRPr="007A72CD" w:rsidRDefault="007A72CD" w:rsidP="007A72CD">
      <w:r w:rsidRPr="007A72CD">
        <w:t>ESMA should also be aware that adopting quantitative and prescriptive views on which funds can be named ‘sustainable’ may impact sustainable fund ranges in the EU market in such a way that investors wishing to invest sustainably may not be able to invest in certain asset classes or geographies with a risk of undue focus on large cap developed issuers which are aligned with the Sustainable Development Goals. We see the potential for this to restrict Europe’s ability to direct financing to help meet Net Zero targets and deliver real world sustainable outcomes.</w:t>
      </w:r>
    </w:p>
    <w:p w14:paraId="0D43551C" w14:textId="77777777" w:rsidR="007A72CD" w:rsidRPr="007A72CD" w:rsidRDefault="007A72CD" w:rsidP="007A72CD"/>
    <w:p w14:paraId="6B24BE67" w14:textId="77777777" w:rsidR="007A72CD" w:rsidRPr="007A72CD" w:rsidRDefault="007A72CD" w:rsidP="007A72CD">
      <w:r w:rsidRPr="007A72CD">
        <w:t>For example, under SFDR, the approaches appear to vary significantly. Setting a quantitative threshold for a term with an unclear definition could create a significant amount of confusion for end investors. It could also be particularly challenging for passive products which rely on benchmark providers which will be out of scope of these guidelines. A restrictive interpretation of sustainable investments will have the following unintended consequences:</w:t>
      </w:r>
    </w:p>
    <w:p w14:paraId="7BA96E33" w14:textId="77777777" w:rsidR="007A72CD" w:rsidRPr="007A72CD" w:rsidRDefault="007A72CD" w:rsidP="007A72CD"/>
    <w:p w14:paraId="2DF5933D" w14:textId="77777777" w:rsidR="007A72CD" w:rsidRPr="007A72CD" w:rsidRDefault="007A72CD" w:rsidP="007A72CD">
      <w:r w:rsidRPr="007A72CD">
        <w:t>a)</w:t>
      </w:r>
      <w:r w:rsidRPr="007A72CD">
        <w:tab/>
        <w:t xml:space="preserve">Pushing sustainable funds into a narrow universe of assets that may miss evolving opportunities and challenges; </w:t>
      </w:r>
    </w:p>
    <w:p w14:paraId="411E569D" w14:textId="77777777" w:rsidR="007A72CD" w:rsidRPr="007A72CD" w:rsidRDefault="007A72CD" w:rsidP="007A72CD">
      <w:r w:rsidRPr="007A72CD">
        <w:t>b)</w:t>
      </w:r>
      <w:r w:rsidRPr="007A72CD">
        <w:tab/>
        <w:t>Limited consumer choice as all funds become default thematic funds; and</w:t>
      </w:r>
    </w:p>
    <w:p w14:paraId="43ED9B81" w14:textId="77777777" w:rsidR="007A72CD" w:rsidRPr="007A72CD" w:rsidRDefault="007A72CD" w:rsidP="007A72CD">
      <w:r w:rsidRPr="007A72CD">
        <w:t>c)</w:t>
      </w:r>
      <w:r w:rsidRPr="007A72CD">
        <w:tab/>
        <w:t>Outsourcing of due diligence expected of financial market participants to third-party data providers whose data at best may be backward looking and at worst is very poor quality.</w:t>
      </w:r>
    </w:p>
    <w:p w14:paraId="0D736EDF" w14:textId="77777777" w:rsidR="007A72CD" w:rsidRPr="007A72CD" w:rsidRDefault="007A72CD" w:rsidP="007A72CD"/>
    <w:p w14:paraId="20710DAC" w14:textId="77777777" w:rsidR="007A72CD" w:rsidRPr="007A72CD" w:rsidRDefault="007A72CD" w:rsidP="007A72CD">
      <w:r w:rsidRPr="007A72CD">
        <w:t>A separate threshold for the use of the word ‘sustainable’ or any other term derived from ‘sustainable’ will be very problematic for funds that primarily invest in sovereign bonds given currently there is no appropriate methodology to assess the taxonomy-alignment of these assets. Whilst there are firms that have classified sovereign green, social and sustainable bonds as sustainable investments, the market for these labelled sovereign bonds, although growing, remains relatively modest in size. Imposing a strict threshold at this stage could undermine efforts to grow this market. This could also lead to unintended market risk consequences – if trends of greater flows into sustainable products continue there could be a preference for corporate over sovereign holdings by asset allocators.</w:t>
      </w:r>
    </w:p>
    <w:p w14:paraId="2C263CDA" w14:textId="77777777" w:rsidR="007A72CD" w:rsidRPr="007A72CD" w:rsidRDefault="007A72CD" w:rsidP="007A72CD"/>
    <w:p w14:paraId="3F3E1763" w14:textId="01841151" w:rsidR="00B92885" w:rsidRDefault="007A72CD" w:rsidP="00B92885">
      <w:r w:rsidRPr="007A72CD">
        <w:t xml:space="preserve">Rather than imposing a threshold, we believe that it will be more proportionate to require that funds that use ‘sustainable’ or any other related term should reflect sustainability in their investment objectives. This is consistent with IOSCO’s Good Sustainable Finance Practices regarding naming. If this is not sufficient, as per our response to Question 2, we believe there is merit for the guidelines to mirror ESMA’s supervisory guidance on sustainability risks and disclosures in the area of investment management which states that in order to avoid confusion with investors, that the use of the term “sustainable” or “sustainability” should be used only by (1) funds disclosing under Article 9 SFDR, (2) funds disclosing under Article 8 SFDR which in part invest in economic activities that contribute to environmental or social objectives and (3) funds disclosing under Article 5 TR. This approach is consistent with two of the elements of MiFID II </w:t>
      </w:r>
      <w:r w:rsidRPr="007A72CD">
        <w:lastRenderedPageBreak/>
        <w:t>sustainability preferences which do not prescribe a minimum threshold in relation to commitment to sustainable investments, including taxonomy alignment.</w:t>
      </w:r>
    </w:p>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5DCA02E0" w14:textId="64B4DA70" w:rsidR="00B92885" w:rsidRDefault="00EC4200" w:rsidP="00B92885">
      <w:permStart w:id="351877901" w:edGrp="everyone"/>
      <w:r w:rsidRPr="00EC4200">
        <w:t>Focusing on minimum thresholds for meeting binding environmental or social characteristics as outlined in the pre-contractual disclosures (for Article 8 and 9) for all sustainable terms allows for a wider variety of approaches, e.g. ESG tilts provided they are clearly articulated. However, ESMA’s remit with these proposed guidelines is not to make rules about the interpretation of SFDR - it is introducing guidelines under the “honestly and fairly” rules in UCITS and AIFMD and the “clear, fair and not misleading” rule in the cross-border distribution of funds regulation.   Therefore, any clarification on definition of Article 8 SFDR funds should be made under the Commission review of SFDR.</w:t>
      </w:r>
    </w:p>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4292C89A" w14:textId="4673EF0E" w:rsidR="000B517A" w:rsidRPr="000B517A" w:rsidRDefault="000B517A" w:rsidP="000B517A">
      <w:permStart w:id="1539323392" w:edGrp="everyone"/>
      <w:r>
        <w:t xml:space="preserve">Instead </w:t>
      </w:r>
      <w:r w:rsidRPr="000B517A">
        <w:t xml:space="preserve">of introducing quantitative thresholds to assess fund names, ESMA should focus on ensuring that consumers understand there are a range of products that can sit underneath the umbrella of sustainability and that the name of a product aligns with its investment objective or strategy. This would support IOSCO’s Recommendations on Sustainability-Related Practices, Policies, Procedures and Disclosure in Asset Management (Final Report) which note greenwashing may occur at the product level due to a lack of alignment between product’s name and its investment objective or strategy. </w:t>
      </w:r>
    </w:p>
    <w:p w14:paraId="1426A380" w14:textId="77777777" w:rsidR="000B517A" w:rsidRPr="000B517A" w:rsidRDefault="000B517A" w:rsidP="000B517A">
      <w:pPr>
        <w:rPr>
          <w:b/>
          <w:bCs/>
        </w:rPr>
      </w:pPr>
    </w:p>
    <w:p w14:paraId="29ABEB43" w14:textId="3798FA02" w:rsidR="00B92885" w:rsidRDefault="000B517A" w:rsidP="000B517A">
      <w:r w:rsidRPr="000B517A">
        <w:t>Ultimately, the focus needs to be on influencing the European Commission to clarify areas of SFDR which are not clear today – any attempt at defining ‘sustainable investment’ or if minimum thresholds are necessary should be embedded in the level 1 regulations rather than naming guidelines</w:t>
      </w:r>
      <w:r w:rsidR="00493616">
        <w:t>.</w:t>
      </w:r>
    </w:p>
    <w:permEnd w:id="1539323392"/>
    <w:p w14:paraId="436D4354" w14:textId="77777777"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3EA2B4EA" w14:textId="3959C79B" w:rsidR="004016BD" w:rsidRPr="004016BD" w:rsidRDefault="004016BD" w:rsidP="004016BD">
      <w:permStart w:id="175976681" w:edGrp="everyone"/>
      <w:r w:rsidRPr="004016BD">
        <w:t>While we understand the logic behind creating minimum exclusions, we believe the minimum safeguards should apply consistently with those prescribed in SFDR, rather than introduce further complexity. Therefore, we would propose that financial market participants should define minimum standards for their own funds as appropriate and disclose what they are in pre-contractual disclosures for Article 8 funds. For Article 9 funds, we would propose that the minimum thresholds should be aligned with the Do No Significant Harm assessments determined by asset managers.</w:t>
      </w:r>
    </w:p>
    <w:p w14:paraId="03034A81" w14:textId="77777777" w:rsidR="004016BD" w:rsidRPr="004016BD" w:rsidRDefault="004016BD" w:rsidP="004016BD"/>
    <w:p w14:paraId="304DF402" w14:textId="77777777" w:rsidR="004016BD" w:rsidRPr="004016BD" w:rsidRDefault="004016BD" w:rsidP="004016BD">
      <w:r w:rsidRPr="004016BD">
        <w:t xml:space="preserve">The proposed guidelines would preclude investment in a number of ‘transition’ stocks and would not encourage or recognise the impact of stewardship. It is also not clear what the minimum requirements for non-equity/ corporate debt would be. Clarification is needed on whether the proposal is a list of company exclusions or ‘any companies that are found or estimated by them or by external data providers to significantly harm one or more of the environmental objectives referred to in Article 9 of Regulation (EU) 2020/852 of the European Parliament’ which is less precisely defined (beyond the UNGC violations). </w:t>
      </w:r>
    </w:p>
    <w:p w14:paraId="3996AC99" w14:textId="77777777" w:rsidR="004016BD" w:rsidRPr="004016BD" w:rsidRDefault="004016BD" w:rsidP="004016BD"/>
    <w:p w14:paraId="64683914" w14:textId="77777777" w:rsidR="004016BD" w:rsidRPr="004016BD" w:rsidRDefault="004016BD" w:rsidP="004016BD">
      <w:pPr>
        <w:rPr>
          <w:b/>
          <w:bCs/>
          <w:i/>
          <w:iCs/>
        </w:rPr>
      </w:pPr>
      <w:r w:rsidRPr="004016BD">
        <w:rPr>
          <w:b/>
          <w:bCs/>
          <w:i/>
          <w:iCs/>
        </w:rPr>
        <w:lastRenderedPageBreak/>
        <w:t>Restrictiveness of Paris-Aligned Benchmark exclusions</w:t>
      </w:r>
    </w:p>
    <w:p w14:paraId="0D62A9C2" w14:textId="77777777" w:rsidR="004016BD" w:rsidRPr="004016BD" w:rsidRDefault="004016BD" w:rsidP="004016BD">
      <w:r w:rsidRPr="004016BD">
        <w:t>There are also significant concerns regarding the consultation paper’s suggestion to use Paris-Aligned Benchmark (PAB) exclusions as a minimum safeguard across funds using both ESG and sustainability related terms. The minimum exclusions under the PAB were designed for very ambitious climate products and therefore are not suitable for the broad universe of ESG/sustainable investment products, including socially focused funds, that will be subject to the ESMA guidelines.</w:t>
      </w:r>
    </w:p>
    <w:p w14:paraId="1D1723C3" w14:textId="77777777" w:rsidR="004016BD" w:rsidRPr="004016BD" w:rsidRDefault="004016BD" w:rsidP="004016BD"/>
    <w:p w14:paraId="1BC3B0BB" w14:textId="77777777" w:rsidR="004016BD" w:rsidRPr="004016BD" w:rsidRDefault="004016BD" w:rsidP="004016BD">
      <w:r w:rsidRPr="004016BD">
        <w:t>Furthermore, the PAB is very restrictive and will also not allow for funds focused on engagement/stewardship to invest in transitioning companies while using any terms that reflect the aim of the fund. It is also extremely challenging to comply with the PAB when it comes to emerging market funds.</w:t>
      </w:r>
    </w:p>
    <w:p w14:paraId="3D5FB4F3" w14:textId="77777777" w:rsidR="004016BD" w:rsidRPr="004016BD" w:rsidRDefault="004016BD" w:rsidP="004016BD"/>
    <w:p w14:paraId="1BAD9EE7" w14:textId="77777777" w:rsidR="004016BD" w:rsidRPr="004016BD" w:rsidRDefault="004016BD" w:rsidP="004016BD">
      <w:r w:rsidRPr="004016BD">
        <w:t>One suggestion is to align the minimum safeguards with the set of minimum exclusions proposed for Climate Transition Benchmarks, namely tobacco, controversial weapons and UN Global Compact violators, plus the addition of coal, which would align with the current market standard.</w:t>
      </w:r>
    </w:p>
    <w:p w14:paraId="6EB5C87A" w14:textId="77777777" w:rsidR="004016BD" w:rsidRPr="004016BD" w:rsidRDefault="004016BD" w:rsidP="004016BD"/>
    <w:p w14:paraId="4ED8D1E0" w14:textId="77777777" w:rsidR="004016BD" w:rsidRPr="004016BD" w:rsidRDefault="004016BD" w:rsidP="004016BD">
      <w:r w:rsidRPr="004016BD">
        <w:t>We also note that even the Climate Transition Benchmark exclusions are predicated on the investments being in investee companies. However, ESG/sustainable investment products can invest in a range of asset classes, including sovereigns, real estate, derivatives, etc. We therefore ask that ESMA clarify whether the exclusions only apply in the case of equity/corporate bond funds or whether a different set of exclusions should be applied for other asset classes. If, however, ESMA intends to expand the safeguards to other asset classes (e.g. sovereigns), we have included below our preference.</w:t>
      </w:r>
    </w:p>
    <w:p w14:paraId="6EF86B65" w14:textId="77777777" w:rsidR="004016BD" w:rsidRPr="004016BD" w:rsidRDefault="004016BD" w:rsidP="004016BD"/>
    <w:p w14:paraId="4B3CE68B" w14:textId="77777777" w:rsidR="004016BD" w:rsidRPr="004016BD" w:rsidRDefault="004016BD" w:rsidP="004016BD">
      <w:r w:rsidRPr="004016BD">
        <w:t>Another suggestion is to include exclusions matching other existing sustainable requirements in the European market including the United Nations Global Compact, the OECD Guidelines for Multinational Enterprises, the UN Guiding Principles for Business and Human Rights, Responsible Business Conduct and International Labour Organization (ILO) Conventions).</w:t>
      </w:r>
    </w:p>
    <w:p w14:paraId="7A654F37" w14:textId="77777777" w:rsidR="004016BD" w:rsidRPr="004016BD" w:rsidRDefault="004016BD" w:rsidP="004016BD"/>
    <w:p w14:paraId="1B9CE054" w14:textId="77777777" w:rsidR="004016BD" w:rsidRPr="004016BD" w:rsidRDefault="004016BD" w:rsidP="004016BD">
      <w:r w:rsidRPr="004016BD">
        <w:t xml:space="preserve">For sovereigns, our preference is for the minimum safeguards to be based on governments that: </w:t>
      </w:r>
    </w:p>
    <w:p w14:paraId="6C56A6FE" w14:textId="77777777" w:rsidR="004016BD" w:rsidRPr="004016BD" w:rsidRDefault="004016BD" w:rsidP="004016BD">
      <w:r w:rsidRPr="004016BD">
        <w:t>a)</w:t>
      </w:r>
      <w:r w:rsidRPr="004016BD">
        <w:tab/>
        <w:t>are subject to UN sanctions;</w:t>
      </w:r>
    </w:p>
    <w:p w14:paraId="53514C1E" w14:textId="77777777" w:rsidR="004016BD" w:rsidRPr="004016BD" w:rsidRDefault="004016BD" w:rsidP="004016BD">
      <w:r w:rsidRPr="004016BD">
        <w:t>b)</w:t>
      </w:r>
      <w:r w:rsidRPr="004016BD">
        <w:tab/>
        <w:t>are included in OECD blacklist; and/or</w:t>
      </w:r>
    </w:p>
    <w:p w14:paraId="70E1FFD3" w14:textId="77777777" w:rsidR="004016BD" w:rsidRPr="004016BD" w:rsidRDefault="004016BD" w:rsidP="004016BD">
      <w:r w:rsidRPr="004016BD">
        <w:t>c)</w:t>
      </w:r>
      <w:r w:rsidRPr="004016BD">
        <w:tab/>
        <w:t>have not ratified the Paris Climate Agreement.</w:t>
      </w:r>
    </w:p>
    <w:p w14:paraId="29203532" w14:textId="77777777" w:rsidR="004016BD" w:rsidRPr="004016BD" w:rsidRDefault="004016BD" w:rsidP="004016BD">
      <w:pPr>
        <w:rPr>
          <w:b/>
          <w:bCs/>
        </w:rPr>
      </w:pPr>
    </w:p>
    <w:p w14:paraId="53A5763C" w14:textId="77777777" w:rsidR="004016BD" w:rsidRPr="004016BD" w:rsidRDefault="004016BD" w:rsidP="004016BD">
      <w:pPr>
        <w:rPr>
          <w:b/>
          <w:bCs/>
          <w:i/>
          <w:iCs/>
        </w:rPr>
      </w:pPr>
      <w:r w:rsidRPr="004016BD">
        <w:rPr>
          <w:b/>
          <w:bCs/>
          <w:i/>
          <w:iCs/>
        </w:rPr>
        <w:t>Focus on asset class as opposed to sustainability profile</w:t>
      </w:r>
    </w:p>
    <w:p w14:paraId="0DB5C90C" w14:textId="77777777" w:rsidR="004016BD" w:rsidRPr="004016BD" w:rsidRDefault="004016BD" w:rsidP="004016BD">
      <w:r w:rsidRPr="004016BD">
        <w:t>Secondly, as outlined above, there is concern that some of the current proposed guidelines reflect the asset class more than the sustainability profile of the fund and will benefit equity growth-oriented funds over, for example, fixed income funds given the different investible universes of these two asset classes. The specific examples provided by one member include:</w:t>
      </w:r>
    </w:p>
    <w:p w14:paraId="11EE7E65" w14:textId="77777777" w:rsidR="004016BD" w:rsidRPr="004016BD" w:rsidRDefault="004016BD" w:rsidP="004016BD"/>
    <w:p w14:paraId="0573A28A" w14:textId="77777777" w:rsidR="004016BD" w:rsidRPr="004016BD" w:rsidRDefault="004016BD" w:rsidP="004016BD">
      <w:pPr>
        <w:numPr>
          <w:ilvl w:val="0"/>
          <w:numId w:val="45"/>
        </w:numPr>
      </w:pPr>
      <w:r w:rsidRPr="004016BD">
        <w:t>Companies that derive 10% or more of their revenues from the exploration, extraction, distribution or refining of oil fuels. The transportation industry, for example, is involved in the distribution of oil fuels, but one can argue that a company committed to reducing the emissions from transport, e.g. sustainable shipping is fundamental to reaching global emission targets as the sector accounts for approximately one third of global emissions (2021, EIA). Furthermore, the above criteria would exclude investments in energy companies that have a credible decarbonisation strategy.</w:t>
      </w:r>
    </w:p>
    <w:p w14:paraId="402F444D" w14:textId="77777777" w:rsidR="004016BD" w:rsidRPr="004016BD" w:rsidRDefault="004016BD" w:rsidP="004016BD">
      <w:pPr>
        <w:numPr>
          <w:ilvl w:val="0"/>
          <w:numId w:val="45"/>
        </w:numPr>
      </w:pPr>
      <w:r w:rsidRPr="004016BD">
        <w:t>Companies that derive 50% or more of their revenues from the exploration, extraction, manufacturing or distribution of gaseous fuels.</w:t>
      </w:r>
    </w:p>
    <w:p w14:paraId="705C1257" w14:textId="77777777" w:rsidR="004016BD" w:rsidRPr="004016BD" w:rsidRDefault="004016BD" w:rsidP="004016BD">
      <w:pPr>
        <w:numPr>
          <w:ilvl w:val="0"/>
          <w:numId w:val="45"/>
        </w:numPr>
      </w:pPr>
      <w:r w:rsidRPr="004016BD">
        <w:t>Companies that derive 50% or more of their revenues from electricity generation with a GHG intensity of more than 100 g CO2 e/kWh. 100 g CO2 Wh is a low threshold that many electric utility companies could fail depending on seasonal factors e.g. during a period of low wind speeds % of revenues generated from more emitting sources would increase. This could create volatile forced selling in the market depending on unpredictable weather factors.</w:t>
      </w:r>
    </w:p>
    <w:p w14:paraId="173881AE" w14:textId="77777777" w:rsidR="004016BD" w:rsidRPr="004016BD" w:rsidRDefault="004016BD" w:rsidP="004016BD"/>
    <w:p w14:paraId="6DD39D3E" w14:textId="77777777" w:rsidR="004016BD" w:rsidRPr="004016BD" w:rsidRDefault="004016BD" w:rsidP="004016BD">
      <w:pPr>
        <w:rPr>
          <w:b/>
          <w:bCs/>
          <w:i/>
          <w:iCs/>
        </w:rPr>
      </w:pPr>
      <w:r w:rsidRPr="004016BD">
        <w:rPr>
          <w:b/>
          <w:bCs/>
          <w:i/>
          <w:iCs/>
        </w:rPr>
        <w:t>Subjective criteria</w:t>
      </w:r>
    </w:p>
    <w:p w14:paraId="6A4433BB" w14:textId="77777777" w:rsidR="004016BD" w:rsidRPr="004016BD" w:rsidRDefault="004016BD" w:rsidP="004016BD">
      <w:r w:rsidRPr="004016BD">
        <w:t>There is also concern surrounding the inclusion of subjective criteria in the list, which could possibly affect the following:</w:t>
      </w:r>
    </w:p>
    <w:p w14:paraId="55816F77" w14:textId="77777777" w:rsidR="004016BD" w:rsidRPr="004016BD" w:rsidRDefault="004016BD" w:rsidP="004016BD"/>
    <w:p w14:paraId="619DFC99" w14:textId="77777777" w:rsidR="004016BD" w:rsidRPr="004016BD" w:rsidRDefault="004016BD" w:rsidP="004016BD">
      <w:pPr>
        <w:numPr>
          <w:ilvl w:val="0"/>
          <w:numId w:val="46"/>
        </w:numPr>
      </w:pPr>
      <w:r w:rsidRPr="004016BD">
        <w:t>Companies that benchmark administrators find in violation of the United Nations Global Compact (UNGC) principles or the Organisation for Economic Co-operation and Development (OECD) Guidelines for Multinational Enterprises. As different external providers have different views on which companies are violators, hard exclusions would potentially be based on subjective and or outdated information.</w:t>
      </w:r>
    </w:p>
    <w:p w14:paraId="04F067A8" w14:textId="77777777" w:rsidR="004016BD" w:rsidRPr="004016BD" w:rsidRDefault="004016BD" w:rsidP="004016BD">
      <w:pPr>
        <w:numPr>
          <w:ilvl w:val="0"/>
          <w:numId w:val="46"/>
        </w:numPr>
      </w:pPr>
      <w:r w:rsidRPr="004016BD">
        <w:t>Companies that are found or estimated by internal assessments or by external data providers to significantly harm one or more of the environmental objectives of the EU Taxonomy. Four of the six environmental objectives of the EU Taxonomy remain undefined and therefore demonstrating harm is potentially also subjective and at risk of greenwashing.</w:t>
      </w:r>
      <w:r w:rsidRPr="004016BD">
        <w:cr/>
      </w:r>
    </w:p>
    <w:p w14:paraId="15C544FE" w14:textId="77777777" w:rsidR="004016BD" w:rsidRPr="004016BD" w:rsidRDefault="004016BD" w:rsidP="004016BD">
      <w:pPr>
        <w:rPr>
          <w:b/>
          <w:bCs/>
          <w:i/>
          <w:iCs/>
        </w:rPr>
      </w:pPr>
      <w:r w:rsidRPr="004016BD">
        <w:rPr>
          <w:b/>
          <w:bCs/>
          <w:i/>
          <w:iCs/>
        </w:rPr>
        <w:t>Significant harm</w:t>
      </w:r>
    </w:p>
    <w:p w14:paraId="4BF47726" w14:textId="77777777" w:rsidR="004016BD" w:rsidRPr="004016BD" w:rsidRDefault="004016BD" w:rsidP="004016BD">
      <w:r w:rsidRPr="004016BD">
        <w:t>Separately, we note that the PAB requires the exclusion of “any companies that are found or estimated by them or by external data providers to significantly harm one or more of the environmental objectives referred to in Article 9 of Regulation (EU) 2020/852” – environmental DNSH. The environmental DNSH concept is very vague and therefore could give rise to confusion and opportunities for regulatory arbitrage and as such, our preference is for these requirements to be disapplied in the final guidelines.</w:t>
      </w:r>
    </w:p>
    <w:p w14:paraId="7C8BD374" w14:textId="77777777" w:rsidR="004016BD" w:rsidRPr="004016BD" w:rsidRDefault="004016BD" w:rsidP="004016BD"/>
    <w:p w14:paraId="1B3C0380" w14:textId="77777777" w:rsidR="004016BD" w:rsidRPr="004016BD" w:rsidRDefault="004016BD" w:rsidP="004016BD">
      <w:pPr>
        <w:rPr>
          <w:b/>
          <w:bCs/>
          <w:i/>
          <w:iCs/>
        </w:rPr>
      </w:pPr>
      <w:r w:rsidRPr="004016BD">
        <w:rPr>
          <w:b/>
          <w:bCs/>
          <w:i/>
          <w:iCs/>
        </w:rPr>
        <w:t>Application to  all investments or investments that do not meet the environmental and/or social characteristics or sustainable investment objective</w:t>
      </w:r>
    </w:p>
    <w:p w14:paraId="685F10CD" w14:textId="77777777" w:rsidR="004016BD" w:rsidRPr="004016BD" w:rsidRDefault="004016BD" w:rsidP="004016BD">
      <w:r w:rsidRPr="004016BD">
        <w:t xml:space="preserve">Our preference is that the minimum safeguards should only be applied to investments used to meet </w:t>
      </w:r>
      <w:r w:rsidRPr="004016BD">
        <w:rPr>
          <w:bCs/>
        </w:rPr>
        <w:t xml:space="preserve">environmental and/or social characteristics or sustainable investment objective and not </w:t>
      </w:r>
      <w:r w:rsidRPr="004016BD">
        <w:t>to</w:t>
      </w:r>
      <w:r w:rsidRPr="004016BD">
        <w:rPr>
          <w:bCs/>
        </w:rPr>
        <w:t xml:space="preserve"> assets used for liquidity (e.g. cash and cash equivalents), hedging or efficient portfolio management purposes.  </w:t>
      </w:r>
    </w:p>
    <w:p w14:paraId="2214775E" w14:textId="77777777" w:rsidR="004016BD" w:rsidRPr="004016BD" w:rsidRDefault="004016BD" w:rsidP="004016BD"/>
    <w:p w14:paraId="7C9157FD" w14:textId="148525F5" w:rsidR="00B92885" w:rsidRDefault="004016BD" w:rsidP="00B92885">
      <w:r w:rsidRPr="004016BD">
        <w:t xml:space="preserve">If ESMA does decide to implement minimum safeguards – </w:t>
      </w:r>
      <w:r w:rsidRPr="004016BD">
        <w:rPr>
          <w:b/>
          <w:bCs/>
        </w:rPr>
        <w:t>these should not be applied</w:t>
      </w:r>
      <w:r w:rsidRPr="004016BD">
        <w:t xml:space="preserve"> to the entire asset allocation but attempt to carve out assets held for liquidity and hedging purposes where there is often no interpretational data that would allow an asset to be assessed against minimum standards. </w:t>
      </w:r>
    </w:p>
    <w:permEnd w:id="175976681"/>
    <w:p w14:paraId="6EE97467" w14:textId="77777777"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33D374FB" w14:textId="0076BA64" w:rsidR="00B92885" w:rsidRDefault="00D30A21" w:rsidP="00B92885">
      <w:permStart w:id="576722602" w:edGrp="everyone"/>
      <w:r w:rsidRPr="00D30A21">
        <w:t xml:space="preserve">We believe it would be most helpful for ESMA to </w:t>
      </w:r>
      <w:r w:rsidRPr="00D30A21" w:rsidDel="00CE33F1">
        <w:t xml:space="preserve">remain </w:t>
      </w:r>
      <w:r w:rsidRPr="00D30A21">
        <w:t>open-minded in its approach to derivatives and be non-prescriptive. Derivatives are highly complex and how they are used within a fund depends on the fund strategy and asset class. There remains significant work to do in this area, across a variety of pieces of sustainability regulation in Europe including SFDR and the Taxonomy, and we point to IIGCC’s work</w:t>
      </w:r>
      <w:r w:rsidRPr="00D30A21">
        <w:rPr>
          <w:vertAlign w:val="superscript"/>
        </w:rPr>
        <w:footnoteReference w:id="2"/>
      </w:r>
      <w:r w:rsidRPr="00D30A21">
        <w:t xml:space="preserve"> to incorporate derivatives into its Net Zero Investment Framework as a useful publication when ESMA is considering its approach to derivatives.</w:t>
      </w:r>
    </w:p>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EC51ABF" w14:textId="77777777" w:rsidR="00B92885" w:rsidRDefault="00B92885" w:rsidP="00B92885">
      <w:permStart w:id="1071974531" w:edGrp="everyone"/>
      <w:r>
        <w:t>TYPE YOUR TEXT HERE</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2ABDF65C" w14:textId="77777777" w:rsidR="00B92885" w:rsidRDefault="00B92885" w:rsidP="00B92885">
      <w:permStart w:id="1162834929" w:edGrp="everyone"/>
      <w:r>
        <w:t>TYPE YOUR TEXT HERE</w:t>
      </w:r>
    </w:p>
    <w:permEnd w:id="1162834929"/>
    <w:p w14:paraId="54A1018F" w14:textId="77777777" w:rsidR="00B92885" w:rsidRDefault="00B92885" w:rsidP="00B92885">
      <w:r>
        <w:lastRenderedPageBreak/>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34EBDBBB" w14:textId="3D7D57E0" w:rsidR="009B0EF0" w:rsidRPr="009B0EF0" w:rsidRDefault="009B0EF0" w:rsidP="009B0EF0">
      <w:permStart w:id="650455330" w:edGrp="everyone"/>
      <w:r w:rsidRPr="009B0EF0">
        <w:t xml:space="preserve">There are potential challenges when applying these requirements to index tracking strategies, including Exchange Traded Funds (ETFs). </w:t>
      </w:r>
    </w:p>
    <w:p w14:paraId="57595CDD" w14:textId="77777777" w:rsidR="009B0EF0" w:rsidRPr="009B0EF0" w:rsidRDefault="009B0EF0" w:rsidP="009B0EF0"/>
    <w:p w14:paraId="1A4C7E04" w14:textId="77777777" w:rsidR="009B0EF0" w:rsidRPr="009B0EF0" w:rsidRDefault="009B0EF0" w:rsidP="009B0EF0">
      <w:r w:rsidRPr="009B0EF0">
        <w:t>As the market convention for naming ETFs and other index tracking strategies is to include the name of the benchmark in the fund name, as ESMA’s guidelines will not apply to benchmark providers, ETF providers may be in a problematic situation whereby a benchmark provider includes ESG-related terms in the name but the fund provider isn’t allowed to reference this.</w:t>
      </w:r>
    </w:p>
    <w:p w14:paraId="038B14A8" w14:textId="77777777" w:rsidR="009B0EF0" w:rsidRPr="009B0EF0" w:rsidRDefault="009B0EF0" w:rsidP="009B0EF0"/>
    <w:p w14:paraId="09A42329" w14:textId="77777777" w:rsidR="009B0EF0" w:rsidRPr="009B0EF0" w:rsidRDefault="009B0EF0" w:rsidP="009B0EF0">
      <w:r w:rsidRPr="009B0EF0">
        <w:t>It is suggested that it would be disproportionate to require fund managers to police the benchmark market for ESG fund terms and therefore fund managers should be able to continue to use the benchmark name, including any ESG-related term that it might contain, in fund names in order to maintain clarity in the market.</w:t>
      </w:r>
    </w:p>
    <w:p w14:paraId="78E5A339" w14:textId="77777777" w:rsidR="009B0EF0" w:rsidRPr="009B0EF0" w:rsidRDefault="009B0EF0" w:rsidP="009B0EF0"/>
    <w:p w14:paraId="1CB3BEEA" w14:textId="77777777" w:rsidR="009B0EF0" w:rsidRPr="009B0EF0" w:rsidRDefault="009B0EF0" w:rsidP="009B0EF0">
      <w:r w:rsidRPr="009B0EF0">
        <w:t>Further clarification from the Commission on the treatment of the asset allocation question in Annex II for index tracking products would also be beneficial to address this question.</w:t>
      </w:r>
    </w:p>
    <w:p w14:paraId="36AFDE91" w14:textId="77777777" w:rsidR="009B0EF0" w:rsidRPr="009B0EF0" w:rsidRDefault="009B0EF0" w:rsidP="009B0EF0"/>
    <w:p w14:paraId="2BABA8E0" w14:textId="0D5ADC8A" w:rsidR="00B92885" w:rsidRDefault="009B0EF0" w:rsidP="00B92885">
      <w:r w:rsidRPr="009B0EF0">
        <w:t>One member has suggested that given the ESG benchmark requirements differ significantly from SFDR and the Taxonomy, the requirements should be reviewed in order that they are better aligned. As part of this review, consideration should be given as to whether to introduce minimum requirements for ESG benchmarks that would align with the minimum requirements proposed by ESMA for funds. For this to be feasible, we recognise that there would need to be consistency between active and index funds. ESMA’s guidelines therefore need to be extended to reference benchmarks so managers can be satisfied the underlying benchmark meets ESMA’s guidelines. Until this happens, it will be challenging for index products.</w:t>
      </w:r>
    </w:p>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09E63E3B" w14:textId="0EFFA73A" w:rsidR="0070318F" w:rsidRPr="0070318F" w:rsidRDefault="0070318F" w:rsidP="0070318F">
      <w:permStart w:id="1876589445" w:edGrp="everyone"/>
      <w:r w:rsidRPr="0070318F">
        <w:t>We would caution against drawing a strong distinction between physical and synthetic replication, since in practice many physically replicated funds will undertake securities lending and therefore questions regarding any collateral held will be common to both approaches.</w:t>
      </w:r>
    </w:p>
    <w:p w14:paraId="60EE1E9F" w14:textId="77777777" w:rsidR="0070318F" w:rsidRPr="0070318F" w:rsidRDefault="0070318F" w:rsidP="0070318F"/>
    <w:p w14:paraId="08901A8C" w14:textId="2A1994A7" w:rsidR="00B92885" w:rsidRDefault="0070318F" w:rsidP="0070318F">
      <w:r w:rsidRPr="0070318F">
        <w:t>One member has noted their approach is to apply minimum safeguards to the collateral basket held to ensure that it does not undermine the ESG objective of the fund. This principle could serve as a basis for any fund that undertakes significant securities lending or synthetic replication. For funds undertaking securities lending, it would also be important to ensure that securities can be recalled for the purposes of proxy voting, where engagement and stewardship are considered part of the ESG investment strategy.</w:t>
      </w:r>
    </w:p>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3B1A2210" w14:textId="5593C111" w:rsidR="003D7062" w:rsidRPr="003D7062" w:rsidRDefault="003D7062" w:rsidP="003D7062">
      <w:permStart w:id="1992309739" w:edGrp="everyone"/>
      <w:r w:rsidRPr="003D7062">
        <w:t>We would in principle support specific provisions for the inclusion of “impact” related terms in fund names, provided that they are aligned with the principles of the Global Impact Investing Network (GIIN), which provides the leading global definition of impact investing. Specifically, that the product invests with the objective of delivering positive and measurable environmental or social impact alongside a financial return.</w:t>
      </w:r>
    </w:p>
    <w:p w14:paraId="74998FC2" w14:textId="77777777" w:rsidR="003D7062" w:rsidRPr="003D7062" w:rsidRDefault="003D7062" w:rsidP="003D7062"/>
    <w:p w14:paraId="422CFE69" w14:textId="77777777" w:rsidR="003D7062" w:rsidRPr="003D7062" w:rsidRDefault="003D7062" w:rsidP="003D7062">
      <w:r w:rsidRPr="003D7062">
        <w:t xml:space="preserve">However, we would advise against setting quantitative thresholds regarding sustainable investments or Taxonomy-alignment for impact products given the nature of many impact investments and the lack of reliable data. </w:t>
      </w:r>
    </w:p>
    <w:p w14:paraId="5328E294" w14:textId="77777777" w:rsidR="003D7062" w:rsidRPr="003D7062" w:rsidRDefault="003D7062" w:rsidP="003D7062"/>
    <w:p w14:paraId="09441A21" w14:textId="74BAF9B2" w:rsidR="00B92885" w:rsidRDefault="003D7062" w:rsidP="00B92885">
      <w:r w:rsidRPr="003D7062">
        <w:t>Finally, we would like to request clarity on paragraph 20 of the draft guidelines requiring that ‘the use of the word “impact” or “impact investing” or any other impact-related term should be used only by funds meeting the quantitative thresholds set out in paragraphs 16 and 17’. We note that paragraph 17 contains the 50% sustainable investment threshold. The example of the impact fund provided (Global Impact Fund), however, is a fund with 0% sustainable investments. We would like to request clarification on this point.</w:t>
      </w:r>
    </w:p>
    <w:permEnd w:id="1992309739"/>
    <w:p w14:paraId="14AB0C87" w14:textId="77777777"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53C0D965" w14:textId="13DADA3C" w:rsidR="00657FEF" w:rsidRPr="00657FEF" w:rsidRDefault="00657FEF" w:rsidP="00657FEF">
      <w:permStart w:id="1423966990" w:edGrp="everyone"/>
      <w:r w:rsidRPr="00657FEF">
        <w:t xml:space="preserve">In principle, we would support a framework that is agnostic as to the investment strategy approach and can be equally applied to climate, environmental, social and other approaches as opposed to creating additional layers of regulation that will add, rather than reduce, the confusion in the market and for investors. In addition, we would highlight that there are myriad approaches to transition and defining a clear and unambiguous standard could be challenging. </w:t>
      </w:r>
    </w:p>
    <w:p w14:paraId="2860E5EA" w14:textId="77777777" w:rsidR="00657FEF" w:rsidRPr="00657FEF" w:rsidRDefault="00657FEF" w:rsidP="00657FEF"/>
    <w:p w14:paraId="2860FCE7" w14:textId="77777777" w:rsidR="00657FEF" w:rsidRPr="00657FEF" w:rsidRDefault="00657FEF" w:rsidP="00657FEF">
      <w:r w:rsidRPr="00657FEF">
        <w:t xml:space="preserve">However, as we note above, the proposals above regarding minimum safeguards could, in particular, be challenging for transition strategies. One of our suggestions is the use, instead, of minimum exclusions based on the Climate Transition Benchmark requirements. </w:t>
      </w:r>
    </w:p>
    <w:p w14:paraId="2BD2FAEB" w14:textId="77777777" w:rsidR="00657FEF" w:rsidRPr="00657FEF" w:rsidRDefault="00657FEF" w:rsidP="00657FEF"/>
    <w:p w14:paraId="57F0CA68" w14:textId="77777777" w:rsidR="00657FEF" w:rsidRPr="00657FEF" w:rsidRDefault="00657FEF" w:rsidP="00657FEF">
      <w:r w:rsidRPr="00657FEF">
        <w:t xml:space="preserve">Furthermore, it remains unclear where transition strategies sit within SFDR and whether transition strategies can be included under Article 9 and can be considered as sustainable investments. Should the European Commission define sustainable investments narrowly and therefore such strategies no longer be considered to fall under Article 9, it could be helpful to introduce provisions regarding transition to ensure that such strategies remain visible to investors. </w:t>
      </w:r>
    </w:p>
    <w:p w14:paraId="4B91EB18" w14:textId="77777777" w:rsidR="00657FEF" w:rsidRPr="00657FEF" w:rsidRDefault="00657FEF" w:rsidP="00657FEF"/>
    <w:p w14:paraId="37F4E677" w14:textId="77777777" w:rsidR="00657FEF" w:rsidRPr="00657FEF" w:rsidRDefault="00657FEF" w:rsidP="00657FEF">
      <w:r w:rsidRPr="00657FEF">
        <w:t xml:space="preserve">Lastly, clarity is needed on whether the minimum safeguard proposal is a list of company exclusions or also ‘any companies that are found or estimated by them or by external data providers to significantly harm one or more of the environmental objectives referred to in Article 9 of Regulation (EU) 2020/852 of the European Parliament’ which is less precisely defined (beyond the UNGC violations). </w:t>
      </w:r>
    </w:p>
    <w:p w14:paraId="493A288A" w14:textId="77777777" w:rsidR="00657FEF" w:rsidRPr="00657FEF" w:rsidRDefault="00657FEF" w:rsidP="00657FEF"/>
    <w:p w14:paraId="61188F70" w14:textId="3E6BB6C1" w:rsidR="00B92885" w:rsidRDefault="00657FEF" w:rsidP="00B92885">
      <w:r w:rsidRPr="00657FEF">
        <w:t>Additionally, at the moment as far as we understand the proposed guidelines, there wouldn’t be any restriction on using the term ‘transition’ in the name so we see little benefit of extending the naming rules to cover these funds unless there is a significantly reduced threshold.</w:t>
      </w:r>
    </w:p>
    <w:permEnd w:id="1423966990"/>
    <w:p w14:paraId="0643B633" w14:textId="77777777"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54FC5FAA" w14:textId="0EE96B85" w:rsidR="00B92885" w:rsidRDefault="00E55F52" w:rsidP="00B92885">
      <w:permStart w:id="1434478937" w:edGrp="everyone"/>
      <w:r w:rsidRPr="00E55F52">
        <w:t xml:space="preserve">Yes, we consider it important that other investment products, including unit-linked and structured products and potentially also pension products, should be subject to similar requirements to ensure a level playing field and that consumers are not confused by differing requirements. </w:t>
      </w:r>
    </w:p>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lastRenderedPageBreak/>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3550CC2F" w14:textId="0A9C155E" w:rsidR="00B60735" w:rsidRPr="00B60735" w:rsidRDefault="00B60735" w:rsidP="00B60735">
      <w:permStart w:id="489244833" w:edGrp="everyone"/>
      <w:r w:rsidRPr="00B60735">
        <w:t>Members have expressed concerns about the length of the transitional period: six months is not enough time to implement the name changes or adapt portfolios to abide with the proposed guidelines and we are therefore suggesting a transition period of at least 12 months. Some concerns in particular include:</w:t>
      </w:r>
    </w:p>
    <w:p w14:paraId="77B6093A" w14:textId="77777777" w:rsidR="00B60735" w:rsidRPr="00B60735" w:rsidRDefault="00B60735" w:rsidP="00B60735"/>
    <w:p w14:paraId="1D8CF454" w14:textId="77777777" w:rsidR="00B60735" w:rsidRPr="00B60735" w:rsidRDefault="00B60735" w:rsidP="00B60735">
      <w:pPr>
        <w:numPr>
          <w:ilvl w:val="0"/>
          <w:numId w:val="47"/>
        </w:numPr>
      </w:pPr>
      <w:r w:rsidRPr="00B60735">
        <w:t>Members anticipate changes to a significant number of their products given the level of the thresholds, and, given the number of clients with whom members would need to engage to discuss the changes, six months is incredibly limited.</w:t>
      </w:r>
    </w:p>
    <w:p w14:paraId="4385F08A" w14:textId="19182984" w:rsidR="00B60735" w:rsidRPr="00B60735" w:rsidRDefault="00B60735" w:rsidP="00B60735">
      <w:pPr>
        <w:numPr>
          <w:ilvl w:val="0"/>
          <w:numId w:val="47"/>
        </w:numPr>
      </w:pPr>
      <w:r w:rsidRPr="00B60735">
        <w:t>In some EU Member States changing the name of funds may involve a lengthy and complex re-filing of regulatory documentation with the NCAs. In the event of index-based strategies, it will depend on whether index providers adjust the naming of their indices to the new ESMA Guidelines.</w:t>
      </w:r>
    </w:p>
    <w:p w14:paraId="68ED52F5" w14:textId="2BFA0FD9" w:rsidR="00B92885" w:rsidRDefault="00B60735" w:rsidP="00B92885">
      <w:pPr>
        <w:numPr>
          <w:ilvl w:val="0"/>
          <w:numId w:val="47"/>
        </w:numPr>
      </w:pPr>
      <w:r w:rsidRPr="00B60735">
        <w:t xml:space="preserve">It is also suggested that (an extended) transitional period for existing products is also applied to new products, therefore lengthening the application period for new products. A three-month application period (as per paragraph 6) is too short for products that may already be fairly advanced in their development and we are therefore concerned that such a short period could therefore have an adverse effect on new product development and innovation. </w:t>
      </w:r>
    </w:p>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23752B71" w14:textId="5A94B96E" w:rsidR="00B92885" w:rsidRDefault="00C44C39" w:rsidP="00B92885">
      <w:permStart w:id="1766353355" w:edGrp="everyone"/>
      <w:r w:rsidRPr="00C44C39">
        <w:t xml:space="preserve">No, we believe that closed-ended funds that have terminated their subscription period should not be subject to these new requirements. Since the legal basis is to ensure that communications are “fair, clear and not misleading”, any closed fund that has terminated subscriptions would no longer be undertaking any marketing and therefore applying these rules would be tantamount to retrospective application. </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1A5F94D1" w14:textId="75A45AD2" w:rsidR="00597B4D" w:rsidRPr="00597B4D" w:rsidRDefault="00597B4D" w:rsidP="00597B4D">
      <w:permStart w:id="929254269" w:edGrp="everyone"/>
      <w:r w:rsidRPr="00597B4D">
        <w:t xml:space="preserve">Whilst we believe it is important that a fund's name is accurate and not misleading, the name of a fund is not the sole determinant of whether an investor will select a fund for investment. As such, ESMA should ensure that the guidelines reflect a proportionate approach in tackling the harms it is trying to avoid. If calibrated appropriately as per our response to the relevant questions included in this consultation, we believe the guidelines will help enhance investor protection by minimising the risk of greenwashing given that a type of greenwashing that may occur at the product level is the lack of alignment between the product’s sustainability-related name and its investment objectives and/or strategies. </w:t>
      </w:r>
    </w:p>
    <w:p w14:paraId="5FDCC91A" w14:textId="77777777" w:rsidR="00597B4D" w:rsidRPr="00597B4D" w:rsidRDefault="00597B4D" w:rsidP="00597B4D"/>
    <w:p w14:paraId="6F6494D0" w14:textId="0BFEF296" w:rsidR="00B92885" w:rsidRDefault="00597B4D" w:rsidP="00B92885">
      <w:r w:rsidRPr="00597B4D">
        <w:t>Whilst the guidelines may help minimise the risk of greenwashing, the introduction of guidelines may also lead to unintentional consequences including adding to investor confusion and concentration risk/market risk.</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lastRenderedPageBreak/>
        <w:t>&lt;ESMA_QUESTION_FUNA_16&gt;</w:t>
      </w:r>
    </w:p>
    <w:p w14:paraId="0866A6F6" w14:textId="59CD0E8D" w:rsidR="00B92885" w:rsidRPr="00CB20D6" w:rsidRDefault="00CB20D6" w:rsidP="00B92885">
      <w:pPr>
        <w:rPr>
          <w:bCs/>
        </w:rPr>
      </w:pPr>
      <w:permStart w:id="878708964" w:edGrp="everyone"/>
      <w:r w:rsidRPr="00CB20D6">
        <w:t>We broadly agree with the cost-benefit analysis in Annex 5 of the consultation. However, we do not agree that it captures all the potential costs that will be incurred by fund managers when implementing the proposed guidelines. For example, funds that currently would fall within the scope of the proposed guidelines but do not meet the thresholds would experience additional costs (e.g. transaction costs) in re-positioning their portfolio particularly when other funds are also doing the same. For funds that would choose to rename, in addition to costs associated with amending pre-contractual and periodic disclosure documents and relevant marketing materials, costs will also be incurred in relation to translating these documents, convening boards (if timing of the change in name does not align with the normal board meeting cycle) and communicating with shareholders including any required meetings. We also question why there are no estimated cost figures included in the analysis.</w:t>
      </w:r>
    </w:p>
    <w:permEnd w:id="878708964"/>
    <w:p w14:paraId="651FE8BB" w14:textId="77777777"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17"/>
      <w:headerReference w:type="first" r:id="rId18"/>
      <w:footerReference w:type="first" r:id="rId19"/>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870F" w14:textId="77777777" w:rsidR="00DA460D" w:rsidRDefault="00DA460D">
      <w:r>
        <w:separator/>
      </w:r>
    </w:p>
    <w:p w14:paraId="196EFFCD" w14:textId="77777777" w:rsidR="00DA460D" w:rsidRDefault="00DA460D"/>
  </w:endnote>
  <w:endnote w:type="continuationSeparator" w:id="0">
    <w:p w14:paraId="19253C3A" w14:textId="77777777" w:rsidR="00DA460D" w:rsidRDefault="00DA460D">
      <w:r>
        <w:continuationSeparator/>
      </w:r>
    </w:p>
    <w:p w14:paraId="44842E4C" w14:textId="77777777" w:rsidR="00DA460D" w:rsidRDefault="00DA460D"/>
  </w:endnote>
  <w:endnote w:type="continuationNotice" w:id="1">
    <w:p w14:paraId="41A99E13" w14:textId="77777777" w:rsidR="00DA460D" w:rsidRDefault="00DA4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Footer"/>
      <w:tabs>
        <w:tab w:val="clear" w:pos="4536"/>
        <w:tab w:val="clear" w:pos="9072"/>
        <w:tab w:val="left" w:pos="8227"/>
        <w:tab w:val="right" w:pos="9412"/>
      </w:tabs>
    </w:pPr>
    <w:r>
      <w:tab/>
    </w:r>
    <w:r w:rsidR="00B92885">
      <w:tab/>
    </w:r>
  </w:p>
  <w:p w14:paraId="3A793707" w14:textId="084F8123" w:rsidR="00B92885" w:rsidRDefault="00B92885" w:rsidP="00B92885">
    <w:pPr>
      <w:pStyle w:val="Footer"/>
      <w:tabs>
        <w:tab w:val="clear" w:pos="4536"/>
        <w:tab w:val="clear" w:pos="9072"/>
        <w:tab w:val="left" w:pos="8227"/>
        <w:tab w:val="right" w:pos="9412"/>
      </w:tabs>
    </w:pPr>
    <w:r>
      <w:tab/>
    </w:r>
    <w:r>
      <w:tab/>
    </w:r>
    <w:r>
      <w:tab/>
    </w:r>
  </w:p>
  <w:p w14:paraId="6D19C66C" w14:textId="10DE0B9B" w:rsidR="00B92885" w:rsidRDefault="00B92885" w:rsidP="00B92885">
    <w:pPr>
      <w:pStyle w:val="Footer"/>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2C7AC" w14:textId="77777777" w:rsidR="00DA460D" w:rsidRDefault="00DA460D">
      <w:r>
        <w:separator/>
      </w:r>
    </w:p>
    <w:p w14:paraId="52F2E0D5" w14:textId="77777777" w:rsidR="00DA460D" w:rsidRDefault="00DA460D"/>
  </w:footnote>
  <w:footnote w:type="continuationSeparator" w:id="0">
    <w:p w14:paraId="31B6AF5A" w14:textId="77777777" w:rsidR="00DA460D" w:rsidRDefault="00DA460D">
      <w:r>
        <w:continuationSeparator/>
      </w:r>
    </w:p>
    <w:p w14:paraId="4871CFD5" w14:textId="77777777" w:rsidR="00DA460D" w:rsidRDefault="00DA460D"/>
  </w:footnote>
  <w:footnote w:type="continuationNotice" w:id="1">
    <w:p w14:paraId="7A8E2DF1" w14:textId="77777777" w:rsidR="00DA460D" w:rsidRDefault="00DA460D"/>
  </w:footnote>
  <w:footnote w:id="2">
    <w:p w14:paraId="4D4C34A9" w14:textId="77777777" w:rsidR="00D30A21" w:rsidRDefault="00D30A21" w:rsidP="00D30A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Header"/>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D870"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Header"/>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Header"/>
      <w:rPr>
        <w:lang w:val="fr-FR"/>
      </w:rPr>
    </w:pPr>
  </w:p>
  <w:p w14:paraId="3F30C70B" w14:textId="77777777" w:rsidR="00267551" w:rsidRPr="002F4496" w:rsidRDefault="00267551" w:rsidP="000C06C9">
    <w:pPr>
      <w:pStyle w:val="Header"/>
      <w:tabs>
        <w:tab w:val="clear" w:pos="4536"/>
        <w:tab w:val="clear" w:pos="9072"/>
        <w:tab w:val="left" w:pos="8227"/>
      </w:tabs>
      <w:rPr>
        <w:lang w:val="fr-FR"/>
      </w:rPr>
    </w:pPr>
  </w:p>
  <w:p w14:paraId="4D50BC39" w14:textId="77777777" w:rsidR="00267551" w:rsidRPr="002F4496" w:rsidRDefault="00267551" w:rsidP="00583885">
    <w:pPr>
      <w:pStyle w:val="Header"/>
      <w:jc w:val="right"/>
      <w:rPr>
        <w:lang w:val="fr-FR"/>
      </w:rPr>
    </w:pPr>
  </w:p>
  <w:p w14:paraId="2D51BEA2" w14:textId="77777777" w:rsidR="00267551" w:rsidRPr="002F4496" w:rsidRDefault="00267551">
    <w:pPr>
      <w:pStyle w:val="Header"/>
      <w:rPr>
        <w:lang w:val="fr-FR"/>
      </w:rPr>
    </w:pPr>
  </w:p>
  <w:p w14:paraId="340B2438" w14:textId="77777777" w:rsidR="00267551" w:rsidRPr="002F4496" w:rsidRDefault="00267551">
    <w:pPr>
      <w:pStyle w:val="Header"/>
      <w:rPr>
        <w:lang w:val="fr-FR"/>
      </w:rPr>
    </w:pPr>
  </w:p>
  <w:p w14:paraId="2A794A3E" w14:textId="77777777" w:rsidR="00267551" w:rsidRPr="002F4496" w:rsidRDefault="00267551">
    <w:pPr>
      <w:pStyle w:val="Header"/>
      <w:rPr>
        <w:lang w:val="fr-FR"/>
      </w:rPr>
    </w:pPr>
  </w:p>
  <w:p w14:paraId="0A21F475" w14:textId="77777777" w:rsidR="00267551" w:rsidRPr="002F4496" w:rsidRDefault="00267551">
    <w:pPr>
      <w:pStyle w:val="Header"/>
      <w:rPr>
        <w:highlight w:val="yellow"/>
        <w:lang w:val="fr-FR"/>
      </w:rPr>
    </w:pPr>
  </w:p>
  <w:p w14:paraId="53ABEE5D" w14:textId="77777777" w:rsidR="00267551" w:rsidRDefault="00267551">
    <w:pPr>
      <w:pStyle w:val="Header"/>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18BA"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832DAC"/>
    <w:multiLevelType w:val="hybridMultilevel"/>
    <w:tmpl w:val="D0A609AC"/>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3"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5"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7"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9"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0"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8"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0"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1"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6C41D7"/>
    <w:multiLevelType w:val="hybridMultilevel"/>
    <w:tmpl w:val="1C7E80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4" w15:restartNumberingAfterBreak="0">
    <w:nsid w:val="63354476"/>
    <w:multiLevelType w:val="hybridMultilevel"/>
    <w:tmpl w:val="4CC826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67EF1511"/>
    <w:multiLevelType w:val="hybridMultilevel"/>
    <w:tmpl w:val="D6A8850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6"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6B53298E"/>
    <w:multiLevelType w:val="hybridMultilevel"/>
    <w:tmpl w:val="B5B8C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9"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3"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44" w15:restartNumberingAfterBreak="0">
    <w:nsid w:val="7E4E3C30"/>
    <w:multiLevelType w:val="hybridMultilevel"/>
    <w:tmpl w:val="3D2E9898"/>
    <w:lvl w:ilvl="0" w:tplc="701ED17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D31506"/>
    <w:multiLevelType w:val="hybridMultilevel"/>
    <w:tmpl w:val="8F4CEE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15742797">
    <w:abstractNumId w:val="17"/>
  </w:num>
  <w:num w:numId="2" w16cid:durableId="60760453">
    <w:abstractNumId w:val="19"/>
  </w:num>
  <w:num w:numId="3" w16cid:durableId="8341642">
    <w:abstractNumId w:val="12"/>
  </w:num>
  <w:num w:numId="4" w16cid:durableId="1792747656">
    <w:abstractNumId w:val="24"/>
  </w:num>
  <w:num w:numId="5" w16cid:durableId="851265662">
    <w:abstractNumId w:val="26"/>
  </w:num>
  <w:num w:numId="6" w16cid:durableId="1346784027">
    <w:abstractNumId w:val="0"/>
  </w:num>
  <w:num w:numId="7" w16cid:durableId="1143279243">
    <w:abstractNumId w:val="4"/>
  </w:num>
  <w:num w:numId="8" w16cid:durableId="21058781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8192444">
    <w:abstractNumId w:val="33"/>
  </w:num>
  <w:num w:numId="10" w16cid:durableId="19935613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34628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7880579">
    <w:abstractNumId w:val="28"/>
  </w:num>
  <w:num w:numId="13" w16cid:durableId="2024932719">
    <w:abstractNumId w:val="31"/>
  </w:num>
  <w:num w:numId="14" w16cid:durableId="216552600">
    <w:abstractNumId w:val="23"/>
  </w:num>
  <w:num w:numId="15" w16cid:durableId="1025716777">
    <w:abstractNumId w:val="11"/>
  </w:num>
  <w:num w:numId="16" w16cid:durableId="469372365">
    <w:abstractNumId w:val="1"/>
  </w:num>
  <w:num w:numId="17" w16cid:durableId="353314813">
    <w:abstractNumId w:val="15"/>
  </w:num>
  <w:num w:numId="18" w16cid:durableId="30150580">
    <w:abstractNumId w:val="16"/>
  </w:num>
  <w:num w:numId="19" w16cid:durableId="1602713093">
    <w:abstractNumId w:val="18"/>
  </w:num>
  <w:num w:numId="20" w16cid:durableId="1408770045">
    <w:abstractNumId w:val="27"/>
  </w:num>
  <w:num w:numId="21" w16cid:durableId="1259413536">
    <w:abstractNumId w:val="41"/>
  </w:num>
  <w:num w:numId="22" w16cid:durableId="664555890">
    <w:abstractNumId w:val="25"/>
  </w:num>
  <w:num w:numId="23" w16cid:durableId="1897425585">
    <w:abstractNumId w:val="10"/>
  </w:num>
  <w:num w:numId="24" w16cid:durableId="802187381">
    <w:abstractNumId w:val="30"/>
  </w:num>
  <w:num w:numId="25" w16cid:durableId="1278876774">
    <w:abstractNumId w:val="29"/>
  </w:num>
  <w:num w:numId="26" w16cid:durableId="379668236">
    <w:abstractNumId w:val="20"/>
  </w:num>
  <w:num w:numId="27" w16cid:durableId="1487820995">
    <w:abstractNumId w:val="36"/>
  </w:num>
  <w:num w:numId="28" w16cid:durableId="266234649">
    <w:abstractNumId w:val="43"/>
  </w:num>
  <w:num w:numId="29" w16cid:durableId="1139415360">
    <w:abstractNumId w:val="8"/>
  </w:num>
  <w:num w:numId="30" w16cid:durableId="1823277534">
    <w:abstractNumId w:val="3"/>
  </w:num>
  <w:num w:numId="31" w16cid:durableId="479543858">
    <w:abstractNumId w:val="22"/>
  </w:num>
  <w:num w:numId="32" w16cid:durableId="2014070492">
    <w:abstractNumId w:val="21"/>
  </w:num>
  <w:num w:numId="33" w16cid:durableId="1754737855">
    <w:abstractNumId w:val="39"/>
  </w:num>
  <w:num w:numId="34" w16cid:durableId="602886219">
    <w:abstractNumId w:val="38"/>
  </w:num>
  <w:num w:numId="35" w16cid:durableId="268321786">
    <w:abstractNumId w:val="5"/>
  </w:num>
  <w:num w:numId="36" w16cid:durableId="130514571">
    <w:abstractNumId w:val="40"/>
  </w:num>
  <w:num w:numId="37" w16cid:durableId="2097238301">
    <w:abstractNumId w:val="21"/>
    <w:lvlOverride w:ilvl="0">
      <w:startOverride w:val="1"/>
    </w:lvlOverride>
  </w:num>
  <w:num w:numId="38" w16cid:durableId="334959544">
    <w:abstractNumId w:val="21"/>
  </w:num>
  <w:num w:numId="39" w16cid:durableId="541595633">
    <w:abstractNumId w:val="13"/>
  </w:num>
  <w:num w:numId="40" w16cid:durableId="1204056131">
    <w:abstractNumId w:val="6"/>
  </w:num>
  <w:num w:numId="41" w16cid:durableId="1356078945">
    <w:abstractNumId w:val="45"/>
  </w:num>
  <w:num w:numId="42" w16cid:durableId="2144689740">
    <w:abstractNumId w:val="37"/>
  </w:num>
  <w:num w:numId="43" w16cid:durableId="1532302335">
    <w:abstractNumId w:val="44"/>
  </w:num>
  <w:num w:numId="44" w16cid:durableId="1135636455">
    <w:abstractNumId w:val="35"/>
  </w:num>
  <w:num w:numId="45" w16cid:durableId="1201744341">
    <w:abstractNumId w:val="2"/>
  </w:num>
  <w:num w:numId="46" w16cid:durableId="259682386">
    <w:abstractNumId w:val="34"/>
  </w:num>
  <w:num w:numId="47" w16cid:durableId="2091853705">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17A"/>
    <w:rsid w:val="000B55C0"/>
    <w:rsid w:val="000B5DF2"/>
    <w:rsid w:val="000C06C9"/>
    <w:rsid w:val="000C1DCC"/>
    <w:rsid w:val="000C1FBC"/>
    <w:rsid w:val="000C2054"/>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4FB4"/>
    <w:rsid w:val="00215940"/>
    <w:rsid w:val="00217206"/>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6DFE"/>
    <w:rsid w:val="00261D56"/>
    <w:rsid w:val="00261FD3"/>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D7062"/>
    <w:rsid w:val="003E0F84"/>
    <w:rsid w:val="003E1FF3"/>
    <w:rsid w:val="003E3ACA"/>
    <w:rsid w:val="003E50EA"/>
    <w:rsid w:val="003E68C7"/>
    <w:rsid w:val="003E79B0"/>
    <w:rsid w:val="003F0403"/>
    <w:rsid w:val="003F1094"/>
    <w:rsid w:val="003F2E45"/>
    <w:rsid w:val="003F3EFE"/>
    <w:rsid w:val="003F40B8"/>
    <w:rsid w:val="003F5C06"/>
    <w:rsid w:val="00400195"/>
    <w:rsid w:val="004016BD"/>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E5E"/>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3616"/>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97B4D"/>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57FEF"/>
    <w:rsid w:val="00660BF0"/>
    <w:rsid w:val="0066189C"/>
    <w:rsid w:val="0066246A"/>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A7D79"/>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D7234"/>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5F04"/>
    <w:rsid w:val="006F6468"/>
    <w:rsid w:val="006F71FA"/>
    <w:rsid w:val="00700247"/>
    <w:rsid w:val="00701051"/>
    <w:rsid w:val="00701E69"/>
    <w:rsid w:val="007021C2"/>
    <w:rsid w:val="00702502"/>
    <w:rsid w:val="0070318F"/>
    <w:rsid w:val="007033A8"/>
    <w:rsid w:val="0070421B"/>
    <w:rsid w:val="007043F0"/>
    <w:rsid w:val="0070482E"/>
    <w:rsid w:val="00704D25"/>
    <w:rsid w:val="00710519"/>
    <w:rsid w:val="00710F6E"/>
    <w:rsid w:val="00711663"/>
    <w:rsid w:val="007116B4"/>
    <w:rsid w:val="00712580"/>
    <w:rsid w:val="007133E4"/>
    <w:rsid w:val="00713788"/>
    <w:rsid w:val="00713940"/>
    <w:rsid w:val="00714AF4"/>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04D"/>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2CD"/>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218"/>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88C"/>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6BD6"/>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0EF0"/>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1D76"/>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735"/>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4C39"/>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5D0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0D6"/>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1858"/>
    <w:rsid w:val="00D22786"/>
    <w:rsid w:val="00D228B4"/>
    <w:rsid w:val="00D2530C"/>
    <w:rsid w:val="00D25AC4"/>
    <w:rsid w:val="00D305F6"/>
    <w:rsid w:val="00D30A21"/>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673A"/>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460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5F52"/>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200"/>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E7D38"/>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0D5C"/>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6C30"/>
    <w:rPr>
      <w:rFonts w:ascii="Arial" w:hAnsi="Arial"/>
      <w:szCs w:val="24"/>
      <w:lang w:eastAsia="de-DE"/>
    </w:rPr>
  </w:style>
  <w:style w:type="paragraph" w:styleId="Heading1">
    <w:name w:val="heading 1"/>
    <w:basedOn w:val="Normal"/>
    <w:next w:val="Normal"/>
    <w:link w:val="Heading1Char"/>
    <w:qFormat/>
    <w:locked/>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3"/>
      </w:numPr>
      <w:spacing w:before="200"/>
      <w:jc w:val="both"/>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locked/>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locked/>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Paragraphe de liste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Number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DefaultParagraphFont"/>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CE604E7FFA6542B75648C2EDEAA8FA" ma:contentTypeVersion="12" ma:contentTypeDescription="Create a new document." ma:contentTypeScope="" ma:versionID="fc6e82b6c70da5e9c1d02b0fb8c42c15">
  <xsd:schema xmlns:xsd="http://www.w3.org/2001/XMLSchema" xmlns:xs="http://www.w3.org/2001/XMLSchema" xmlns:p="http://schemas.microsoft.com/office/2006/metadata/properties" xmlns:ns2="fc010a94-d041-42b2-b76e-c6fdd0285935" xmlns:ns3="d7d8b6d1-e78d-408e-8d6e-95c6e32beec2" targetNamespace="http://schemas.microsoft.com/office/2006/metadata/properties" ma:root="true" ma:fieldsID="8303bd766eddb93b437b9cc734709104" ns2:_="" ns3:_="">
    <xsd:import namespace="fc010a94-d041-42b2-b76e-c6fdd0285935"/>
    <xsd:import namespace="d7d8b6d1-e78d-408e-8d6e-95c6e32beec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10a94-d041-42b2-b76e-c6fdd02859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341f135-892c-4ab9-a4a2-5cdb862e2ab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d8b6d1-e78d-408e-8d6e-95c6e32beec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3c836e8-e9e3-48f5-8b41-85a3cf52048c}" ma:internalName="TaxCatchAll" ma:showField="CatchAllData" ma:web="d7d8b6d1-e78d-408e-8d6e-95c6e32beec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d7d8b6d1-e78d-408e-8d6e-95c6e32beec2">
      <Value>15</Value>
      <Value>46</Value>
      <Value>385</Value>
      <Value>194</Value>
      <Value>379</Value>
      <Value>38</Value>
    </TaxCatchAll>
    <lcf76f155ced4ddcb4097134ff3c332f xmlns="fc010a94-d041-42b2-b76e-c6fdd02859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2.xml><?xml version="1.0" encoding="utf-8"?>
<ds:datastoreItem xmlns:ds="http://schemas.openxmlformats.org/officeDocument/2006/customXml" ds:itemID="{7550AC4B-D01F-4B12-95A8-1CF600B4A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10a94-d041-42b2-b76e-c6fdd0285935"/>
    <ds:schemaRef ds:uri="d7d8b6d1-e78d-408e-8d6e-95c6e32be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4.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5.xml><?xml version="1.0" encoding="utf-8"?>
<ds:datastoreItem xmlns:ds="http://schemas.openxmlformats.org/officeDocument/2006/customXml" ds:itemID="{3F37C169-B082-42D7-95A8-39DCDC7C43D3}">
  <ds:schemaRefs>
    <ds:schemaRef ds:uri="http://schemas.microsoft.com/office/2006/metadata/properties"/>
    <ds:schemaRef ds:uri="http://schemas.microsoft.com/office/infopath/2007/PartnerControls"/>
    <ds:schemaRef ds:uri="d7d8b6d1-e78d-408e-8d6e-95c6e32beec2"/>
    <ds:schemaRef ds:uri="fc010a94-d041-42b2-b76e-c6fdd0285935"/>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16</Pages>
  <Words>6884</Words>
  <Characters>39245</Characters>
  <Application>Microsoft Office Word</Application>
  <DocSecurity>8</DocSecurity>
  <Lines>327</Lines>
  <Paragraphs>92</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46037</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Carol Thomas</cp:lastModifiedBy>
  <cp:revision>32</cp:revision>
  <cp:lastPrinted>2015-02-18T11:01:00Z</cp:lastPrinted>
  <dcterms:created xsi:type="dcterms:W3CDTF">2023-02-20T12:10:00Z</dcterms:created>
  <dcterms:modified xsi:type="dcterms:W3CDTF">2023-02-20T16:15:00Z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0x010100C3CE604E7FFA6542B75648C2EDEAA8FA</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ies>
</file>