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416ABC" w:rsidRPr="000A609F" w14:paraId="5DCC7BC8" w14:textId="77777777" w:rsidTr="00315E96">
        <w:trPr>
          <w:trHeight w:val="284"/>
        </w:trPr>
        <w:tc>
          <w:tcPr>
            <w:tcW w:w="9412" w:type="dxa"/>
          </w:tcPr>
          <w:p w14:paraId="16A89E45" w14:textId="3C1BD526" w:rsidR="00C2094B" w:rsidRPr="00986AF7" w:rsidRDefault="00A52EBB" w:rsidP="0071740A">
            <w:pPr>
              <w:pStyle w:val="Piedepgina"/>
              <w:rPr>
                <w:rFonts w:cs="Arial"/>
                <w:sz w:val="22"/>
                <w:szCs w:val="22"/>
              </w:rPr>
            </w:pPr>
            <w:r w:rsidRPr="00986AF7">
              <w:rPr>
                <w:rFonts w:cs="Arial"/>
                <w:color w:val="FFFFFF" w:themeColor="background1"/>
                <w:sz w:val="22"/>
                <w:szCs w:val="22"/>
              </w:rPr>
              <w:ptab w:relativeTo="margin" w:alignment="center" w:leader="none"/>
            </w:r>
            <w:r w:rsidRPr="00986AF7">
              <w:rPr>
                <w:rFonts w:cs="Arial"/>
                <w:color w:val="FFFFFF" w:themeColor="background1"/>
                <w:sz w:val="22"/>
                <w:szCs w:val="22"/>
              </w:rPr>
              <w:ptab w:relativeTo="margin" w:alignment="right" w:leader="none"/>
            </w:r>
            <w:r w:rsidR="001B73D3">
              <w:rPr>
                <w:rFonts w:cs="Arial"/>
                <w:color w:val="FFFFFF" w:themeColor="background1"/>
                <w:sz w:val="22"/>
                <w:szCs w:val="22"/>
              </w:rPr>
              <w:t>18</w:t>
            </w:r>
            <w:r w:rsidR="00267551">
              <w:rPr>
                <w:rFonts w:cs="Arial"/>
                <w:color w:val="FFFFFF" w:themeColor="background1"/>
                <w:sz w:val="22"/>
                <w:szCs w:val="22"/>
              </w:rPr>
              <w:t xml:space="preserve"> </w:t>
            </w:r>
            <w:r w:rsidR="001B73D3">
              <w:rPr>
                <w:rFonts w:cs="Arial"/>
                <w:color w:val="FFFFFF" w:themeColor="background1"/>
                <w:sz w:val="22"/>
                <w:szCs w:val="22"/>
              </w:rPr>
              <w:t>November</w:t>
            </w:r>
            <w:r w:rsidR="004F6E70">
              <w:rPr>
                <w:rFonts w:cs="Arial"/>
                <w:color w:val="FFFFFF" w:themeColor="background1"/>
                <w:sz w:val="22"/>
                <w:szCs w:val="22"/>
              </w:rPr>
              <w:t xml:space="preserve"> 2022</w:t>
            </w:r>
          </w:p>
        </w:tc>
      </w:tr>
    </w:tbl>
    <w:p w14:paraId="08B582C6" w14:textId="77777777" w:rsidR="00FD7A8D" w:rsidRPr="00616B9B" w:rsidRDefault="00FD7A8D" w:rsidP="00FD7A8D">
      <w:pPr>
        <w:rPr>
          <w:rFonts w:cs="Arial"/>
          <w:vanish/>
        </w:rPr>
      </w:pPr>
    </w:p>
    <w:tbl>
      <w:tblPr>
        <w:tblpPr w:leftFromText="8505" w:vertAnchor="page" w:horzAnchor="page" w:tblpX="1248" w:tblpY="4401"/>
        <w:tblW w:w="9397" w:type="dxa"/>
        <w:tblLayout w:type="fixed"/>
        <w:tblCellMar>
          <w:left w:w="0" w:type="dxa"/>
          <w:right w:w="0" w:type="dxa"/>
        </w:tblCellMar>
        <w:tblLook w:val="01E0" w:firstRow="1" w:lastRow="1" w:firstColumn="1" w:lastColumn="1" w:noHBand="0" w:noVBand="0"/>
      </w:tblPr>
      <w:tblGrid>
        <w:gridCol w:w="9397"/>
      </w:tblGrid>
      <w:tr w:rsidR="00060F72" w:rsidRPr="00616B9B" w14:paraId="36A24E87" w14:textId="77777777" w:rsidTr="00F107EF">
        <w:trPr>
          <w:trHeight w:hRule="exact" w:val="1985"/>
        </w:trPr>
        <w:tc>
          <w:tcPr>
            <w:tcW w:w="9397" w:type="dxa"/>
            <w:vAlign w:val="bottom"/>
          </w:tcPr>
          <w:p w14:paraId="3666949C" w14:textId="0BB3970D" w:rsidR="00791EB4" w:rsidRDefault="00AE627C" w:rsidP="00DD2CDA">
            <w:pPr>
              <w:pStyle w:val="01aDBTitle"/>
              <w:jc w:val="left"/>
              <w:rPr>
                <w:rFonts w:cs="Arial"/>
              </w:rPr>
            </w:pPr>
            <w:r w:rsidRPr="00616B9B">
              <w:rPr>
                <w:rFonts w:cs="Arial"/>
              </w:rPr>
              <w:t>Reply form</w:t>
            </w:r>
            <w:r w:rsidR="00B835D5" w:rsidRPr="00616B9B">
              <w:rPr>
                <w:rFonts w:cs="Arial"/>
              </w:rPr>
              <w:t xml:space="preserve"> </w:t>
            </w:r>
            <w:r w:rsidR="0043173B" w:rsidRPr="00616B9B">
              <w:rPr>
                <w:rFonts w:cs="Arial"/>
              </w:rPr>
              <w:t>for</w:t>
            </w:r>
            <w:r w:rsidR="00027ECF" w:rsidRPr="00616B9B">
              <w:rPr>
                <w:rFonts w:cs="Arial"/>
              </w:rPr>
              <w:t xml:space="preserve"> the</w:t>
            </w:r>
            <w:r w:rsidR="00DD2CDA">
              <w:t xml:space="preserve"> </w:t>
            </w:r>
            <w:r w:rsidR="00DD2CDA" w:rsidRPr="00DD2CDA">
              <w:rPr>
                <w:rFonts w:cs="Arial"/>
              </w:rPr>
              <w:t>Consultation Paper on</w:t>
            </w:r>
            <w:r w:rsidR="00B92885">
              <w:rPr>
                <w:rFonts w:cs="Arial"/>
              </w:rPr>
              <w:t xml:space="preserve"> </w:t>
            </w:r>
            <w:r w:rsidR="001B73D3" w:rsidRPr="001B73D3">
              <w:rPr>
                <w:rFonts w:eastAsiaTheme="minorHAnsi" w:cs="Arial"/>
                <w:b w:val="0"/>
                <w:bCs/>
                <w:color w:val="auto"/>
                <w:sz w:val="22"/>
                <w:szCs w:val="22"/>
                <w:lang w:eastAsia="en-US"/>
              </w:rPr>
              <w:t xml:space="preserve"> </w:t>
            </w:r>
            <w:r w:rsidR="001B73D3" w:rsidRPr="001B73D3">
              <w:rPr>
                <w:rFonts w:cs="Arial"/>
                <w:bCs/>
              </w:rPr>
              <w:t>Guidelines for the use of ESG or sustainability-related terms in funds’ names</w:t>
            </w:r>
          </w:p>
          <w:p w14:paraId="186004BC" w14:textId="77777777" w:rsidR="00B61CD3" w:rsidRPr="00616B9B" w:rsidRDefault="00B61CD3" w:rsidP="00DD2CDA">
            <w:pPr>
              <w:pStyle w:val="01aDBTitle"/>
              <w:jc w:val="left"/>
              <w:rPr>
                <w:rFonts w:cs="Arial"/>
              </w:rPr>
            </w:pPr>
          </w:p>
        </w:tc>
      </w:tr>
      <w:tr w:rsidR="00060F72" w:rsidRPr="00616B9B" w14:paraId="4A9A8CFD" w14:textId="77777777" w:rsidTr="00B835D5">
        <w:trPr>
          <w:trHeight w:hRule="exact" w:val="605"/>
        </w:trPr>
        <w:tc>
          <w:tcPr>
            <w:tcW w:w="9397" w:type="dxa"/>
            <w:tcMar>
              <w:top w:w="142" w:type="dxa"/>
            </w:tcMar>
          </w:tcPr>
          <w:p w14:paraId="0BAB6DA8" w14:textId="77777777" w:rsidR="00D91010" w:rsidRPr="00616B9B" w:rsidRDefault="00013CCE" w:rsidP="00027ECF">
            <w:pPr>
              <w:pStyle w:val="01bDBSubtitle"/>
              <w:rPr>
                <w:rFonts w:ascii="Arial" w:hAnsi="Arial" w:cs="Arial"/>
              </w:rPr>
            </w:pPr>
            <w:r w:rsidRPr="00616B9B">
              <w:rPr>
                <w:rFonts w:ascii="Arial" w:hAnsi="Arial" w:cs="Arial"/>
              </w:rPr>
              <w:t xml:space="preserve"> </w:t>
            </w:r>
          </w:p>
        </w:tc>
      </w:tr>
    </w:tbl>
    <w:p w14:paraId="46E7260B" w14:textId="77777777" w:rsidR="00620D7C" w:rsidRPr="00616B9B" w:rsidRDefault="00620D7C" w:rsidP="00C00012">
      <w:pPr>
        <w:pStyle w:val="05HeadlinenoIndex"/>
        <w:rPr>
          <w:rFonts w:cs="Arial"/>
        </w:rPr>
        <w:sectPr w:rsidR="00620D7C" w:rsidRPr="00616B9B" w:rsidSect="006E3C72">
          <w:headerReference w:type="default" r:id="rId13"/>
          <w:footerReference w:type="default" r:id="rId14"/>
          <w:headerReference w:type="first" r:id="rId15"/>
          <w:footerReference w:type="first" r:id="rId16"/>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A52EBB" w14:paraId="44C1664D" w14:textId="77777777" w:rsidTr="00315E96">
        <w:trPr>
          <w:trHeight w:hRule="exact" w:val="964"/>
        </w:trPr>
        <w:tc>
          <w:tcPr>
            <w:tcW w:w="2325" w:type="dxa"/>
          </w:tcPr>
          <w:p w14:paraId="4C8ED68C" w14:textId="77777777" w:rsidR="00620D7C" w:rsidRDefault="00620D7C" w:rsidP="00B1467D">
            <w:pPr>
              <w:pStyle w:val="02Date"/>
              <w:rPr>
                <w:rFonts w:cs="Arial"/>
              </w:rPr>
            </w:pPr>
            <w:r w:rsidRPr="00A52EBB">
              <w:rPr>
                <w:rFonts w:cs="Arial"/>
              </w:rPr>
              <w:lastRenderedPageBreak/>
              <w:t>Date</w:t>
            </w:r>
            <w:r w:rsidRPr="00267551">
              <w:rPr>
                <w:rFonts w:cs="Arial"/>
              </w:rPr>
              <w:t xml:space="preserve">: </w:t>
            </w:r>
            <w:r w:rsidR="001B73D3">
              <w:rPr>
                <w:rFonts w:cs="Arial"/>
              </w:rPr>
              <w:t>18</w:t>
            </w:r>
            <w:r w:rsidR="004F6E70">
              <w:rPr>
                <w:rFonts w:cs="Arial"/>
              </w:rPr>
              <w:t xml:space="preserve"> </w:t>
            </w:r>
            <w:r w:rsidR="001B73D3">
              <w:rPr>
                <w:rFonts w:cs="Arial"/>
              </w:rPr>
              <w:t>Nov</w:t>
            </w:r>
            <w:r w:rsidR="004F6E70">
              <w:rPr>
                <w:rFonts w:cs="Arial"/>
              </w:rPr>
              <w:t>ember 2022</w:t>
            </w:r>
          </w:p>
          <w:p w14:paraId="2CAB5AA6" w14:textId="21EAECE5" w:rsidR="00B92885" w:rsidRPr="00A52EBB" w:rsidRDefault="00B92885" w:rsidP="00B1467D">
            <w:pPr>
              <w:pStyle w:val="02Date"/>
              <w:rPr>
                <w:rFonts w:cs="Arial"/>
              </w:rPr>
            </w:pPr>
          </w:p>
        </w:tc>
      </w:tr>
    </w:tbl>
    <w:p w14:paraId="4A7E6333" w14:textId="77777777" w:rsidR="00F574D0" w:rsidRPr="00616B9B" w:rsidRDefault="00F574D0" w:rsidP="00F574D0">
      <w:pPr>
        <w:pStyle w:val="05HeadlinenoIndex"/>
        <w:rPr>
          <w:rFonts w:cs="Arial"/>
        </w:rPr>
      </w:pPr>
      <w:bookmarkStart w:id="0" w:name="_Toc280628648"/>
      <w:r w:rsidRPr="00616B9B">
        <w:rPr>
          <w:rFonts w:cs="Arial"/>
        </w:rPr>
        <w:t xml:space="preserve">Responding to this paper </w:t>
      </w:r>
    </w:p>
    <w:p w14:paraId="6DB08373" w14:textId="7A474624" w:rsidR="00F574D0" w:rsidRPr="00EF0769" w:rsidRDefault="00F574D0" w:rsidP="00F574D0">
      <w:pPr>
        <w:pStyle w:val="04BodyText"/>
        <w:spacing w:before="120" w:after="120"/>
        <w:rPr>
          <w:rFonts w:cs="Arial"/>
        </w:rPr>
      </w:pPr>
      <w:r w:rsidRPr="00EF0769">
        <w:rPr>
          <w:rFonts w:cs="Arial"/>
        </w:rPr>
        <w:t>The European Securities and Markets Authority (ESMA) invites responses to the s</w:t>
      </w:r>
      <w:r w:rsidR="00955F48" w:rsidRPr="00EF0769">
        <w:rPr>
          <w:rFonts w:cs="Arial"/>
        </w:rPr>
        <w:t xml:space="preserve">pecific questions listed in the </w:t>
      </w:r>
      <w:r w:rsidR="000E49B7">
        <w:rPr>
          <w:rFonts w:cs="Arial"/>
        </w:rPr>
        <w:t xml:space="preserve">Consultation Paper on </w:t>
      </w:r>
      <w:r w:rsidR="000C2054">
        <w:rPr>
          <w:rFonts w:cs="Arial"/>
        </w:rPr>
        <w:t>Guidelines for the use of ESG or sustainability-related terms in funds’ names</w:t>
      </w:r>
      <w:r w:rsidR="000E78C1">
        <w:rPr>
          <w:rFonts w:cs="Arial"/>
        </w:rPr>
        <w:t xml:space="preserve"> </w:t>
      </w:r>
      <w:r w:rsidR="00015B5E" w:rsidRPr="00EF0769">
        <w:rPr>
          <w:rFonts w:cs="Arial"/>
        </w:rPr>
        <w:t>published on the ESMA website</w:t>
      </w:r>
      <w:r w:rsidR="004E49B0" w:rsidRPr="00EF0769">
        <w:rPr>
          <w:rFonts w:cs="Arial"/>
        </w:rPr>
        <w:t>.</w:t>
      </w:r>
    </w:p>
    <w:p w14:paraId="27AFD082" w14:textId="77777777" w:rsidR="001D000A" w:rsidRDefault="001D000A" w:rsidP="00F574D0">
      <w:pPr>
        <w:autoSpaceDE w:val="0"/>
        <w:autoSpaceDN w:val="0"/>
        <w:adjustRightInd w:val="0"/>
        <w:spacing w:before="120" w:after="120" w:line="276" w:lineRule="auto"/>
        <w:jc w:val="both"/>
        <w:rPr>
          <w:rStyle w:val="Strong4"/>
          <w:rFonts w:cs="Arial"/>
          <w:i/>
        </w:rPr>
      </w:pPr>
    </w:p>
    <w:p w14:paraId="1EDEDD47" w14:textId="77777777" w:rsidR="00F574D0" w:rsidRPr="00EF0769" w:rsidRDefault="00F574D0" w:rsidP="00F574D0">
      <w:pPr>
        <w:autoSpaceDE w:val="0"/>
        <w:autoSpaceDN w:val="0"/>
        <w:adjustRightInd w:val="0"/>
        <w:spacing w:before="120" w:after="120" w:line="276" w:lineRule="auto"/>
        <w:jc w:val="both"/>
        <w:rPr>
          <w:rStyle w:val="Strong4"/>
          <w:rFonts w:cs="Arial"/>
          <w:i/>
        </w:rPr>
      </w:pPr>
      <w:r w:rsidRPr="00EF0769">
        <w:rPr>
          <w:rStyle w:val="Strong4"/>
          <w:rFonts w:cs="Arial"/>
          <w:i/>
        </w:rPr>
        <w:t>Instructions</w:t>
      </w:r>
    </w:p>
    <w:p w14:paraId="66DB9C4C" w14:textId="77777777" w:rsidR="00F574D0" w:rsidRPr="00EF0769" w:rsidRDefault="00D75FEE" w:rsidP="00F574D0">
      <w:pPr>
        <w:pStyle w:val="04BodyText"/>
        <w:spacing w:before="120" w:after="120"/>
        <w:rPr>
          <w:rFonts w:cs="Arial"/>
        </w:rPr>
      </w:pPr>
      <w:r w:rsidRPr="00EF0769">
        <w:rPr>
          <w:rFonts w:cs="Arial"/>
        </w:rPr>
        <w:t xml:space="preserve">Please note that, in order to facilitate the analysis of the large number of responses expected, you are requested to use this file to send your response to ESMA so as to allow us to process it properly. Therefore, </w:t>
      </w:r>
      <w:r w:rsidR="00332304">
        <w:rPr>
          <w:rFonts w:cs="Arial"/>
        </w:rPr>
        <w:t xml:space="preserve">ESMA will only be able to consider responses which follow the instructions described </w:t>
      </w:r>
      <w:r w:rsidRPr="00EF0769">
        <w:rPr>
          <w:rFonts w:cs="Arial"/>
        </w:rPr>
        <w:t>below</w:t>
      </w:r>
      <w:r w:rsidR="00F574D0" w:rsidRPr="00EF0769">
        <w:rPr>
          <w:rFonts w:cs="Arial"/>
        </w:rPr>
        <w:t>:</w:t>
      </w:r>
    </w:p>
    <w:p w14:paraId="1207EF98" w14:textId="1B5ADF92" w:rsidR="00F574D0" w:rsidRPr="00293D78" w:rsidRDefault="00F574D0" w:rsidP="00366E20">
      <w:pPr>
        <w:pStyle w:val="04BodyText"/>
        <w:numPr>
          <w:ilvl w:val="0"/>
          <w:numId w:val="35"/>
        </w:numPr>
        <w:spacing w:before="120" w:after="120"/>
        <w:rPr>
          <w:rFonts w:cs="Arial"/>
        </w:rPr>
      </w:pPr>
      <w:r w:rsidRPr="00293D78">
        <w:rPr>
          <w:rFonts w:cs="Arial"/>
        </w:rPr>
        <w:t xml:space="preserve">use </w:t>
      </w:r>
      <w:r w:rsidR="00332304" w:rsidRPr="00293D78">
        <w:rPr>
          <w:rFonts w:cs="Arial"/>
        </w:rPr>
        <w:t>this form</w:t>
      </w:r>
      <w:r w:rsidR="00955F48" w:rsidRPr="00293D78">
        <w:rPr>
          <w:rFonts w:cs="Arial"/>
        </w:rPr>
        <w:t xml:space="preserve"> and send </w:t>
      </w:r>
      <w:r w:rsidR="00332304" w:rsidRPr="00293D78">
        <w:rPr>
          <w:rFonts w:cs="Arial"/>
        </w:rPr>
        <w:t>your</w:t>
      </w:r>
      <w:r w:rsidR="00955F48" w:rsidRPr="00293D78">
        <w:rPr>
          <w:rFonts w:cs="Arial"/>
        </w:rPr>
        <w:t xml:space="preserve"> responses in Word format (pdf documents will not be considered);</w:t>
      </w:r>
    </w:p>
    <w:p w14:paraId="557F67D8" w14:textId="6CD7CFF5" w:rsidR="00F574D0" w:rsidRPr="00293D78" w:rsidRDefault="00D75FEE" w:rsidP="00366E20">
      <w:pPr>
        <w:pStyle w:val="04BodyText"/>
        <w:numPr>
          <w:ilvl w:val="0"/>
          <w:numId w:val="35"/>
        </w:numPr>
        <w:spacing w:before="120" w:after="120"/>
        <w:rPr>
          <w:rFonts w:cs="Arial"/>
        </w:rPr>
      </w:pPr>
      <w:r w:rsidRPr="00293D78">
        <w:rPr>
          <w:rFonts w:cs="Arial"/>
        </w:rPr>
        <w:t xml:space="preserve">do </w:t>
      </w:r>
      <w:r w:rsidR="00F574D0" w:rsidRPr="00293D78">
        <w:rPr>
          <w:rFonts w:cs="Arial"/>
        </w:rPr>
        <w:t xml:space="preserve">not remove the tags of </w:t>
      </w:r>
      <w:r w:rsidR="00F574D0" w:rsidRPr="001B73D3">
        <w:rPr>
          <w:rFonts w:cs="Arial"/>
          <w:highlight w:val="yellow"/>
        </w:rPr>
        <w:t xml:space="preserve">type </w:t>
      </w:r>
      <w:r w:rsidR="000A609F" w:rsidRPr="001B73D3">
        <w:rPr>
          <w:rFonts w:cs="Arial"/>
          <w:highlight w:val="yellow"/>
        </w:rPr>
        <w:t>&lt;ESMA_QUESTION_</w:t>
      </w:r>
      <w:r w:rsidR="00B92885">
        <w:rPr>
          <w:rFonts w:cs="Arial"/>
          <w:highlight w:val="yellow"/>
        </w:rPr>
        <w:t>FUNA</w:t>
      </w:r>
      <w:r w:rsidR="000A609F" w:rsidRPr="001B73D3">
        <w:rPr>
          <w:rFonts w:cs="Arial"/>
          <w:highlight w:val="yellow"/>
        </w:rPr>
        <w:t xml:space="preserve">_0&gt; </w:t>
      </w:r>
      <w:r w:rsidR="00F574D0" w:rsidRPr="001B73D3">
        <w:rPr>
          <w:rFonts w:cs="Arial"/>
          <w:highlight w:val="yellow"/>
        </w:rPr>
        <w:t>- i.</w:t>
      </w:r>
      <w:r w:rsidR="00F574D0" w:rsidRPr="00293D78">
        <w:rPr>
          <w:rFonts w:cs="Arial"/>
        </w:rPr>
        <w:t>e. the response to one question has to be framed by the 2 tags corresponding to the question; and</w:t>
      </w:r>
    </w:p>
    <w:p w14:paraId="13BFAA34" w14:textId="77777777" w:rsidR="00F574D0" w:rsidRPr="00293D78" w:rsidRDefault="00F574D0" w:rsidP="00366E20">
      <w:pPr>
        <w:pStyle w:val="04BodyText"/>
        <w:numPr>
          <w:ilvl w:val="0"/>
          <w:numId w:val="35"/>
        </w:numPr>
        <w:spacing w:before="120" w:after="120"/>
        <w:rPr>
          <w:rFonts w:cs="Arial"/>
        </w:rPr>
      </w:pPr>
      <w:r w:rsidRPr="00293D78">
        <w:rPr>
          <w:rFonts w:cs="Arial"/>
        </w:rPr>
        <w:t xml:space="preserve">if </w:t>
      </w:r>
      <w:r w:rsidR="00D75FEE" w:rsidRPr="00293D78">
        <w:rPr>
          <w:rFonts w:cs="Arial"/>
        </w:rPr>
        <w:t>you do not have a</w:t>
      </w:r>
      <w:r w:rsidRPr="00293D78">
        <w:rPr>
          <w:rFonts w:cs="Arial"/>
        </w:rPr>
        <w:t xml:space="preserve"> response to a question, </w:t>
      </w:r>
      <w:r w:rsidR="00D75FEE" w:rsidRPr="00293D78">
        <w:rPr>
          <w:rFonts w:cs="Arial"/>
        </w:rPr>
        <w:t xml:space="preserve">do </w:t>
      </w:r>
      <w:r w:rsidRPr="00293D78">
        <w:rPr>
          <w:rFonts w:cs="Arial"/>
        </w:rPr>
        <w:t>not delete it and leave the text “TYPE YOUR TEXT HERE” between the tags.</w:t>
      </w:r>
    </w:p>
    <w:p w14:paraId="3AF15379" w14:textId="77777777" w:rsidR="00F574D0" w:rsidRPr="00EF0769" w:rsidRDefault="00F574D0" w:rsidP="00F574D0">
      <w:pPr>
        <w:pStyle w:val="04bList"/>
        <w:numPr>
          <w:ilvl w:val="0"/>
          <w:numId w:val="0"/>
        </w:numPr>
        <w:spacing w:before="120" w:after="120"/>
        <w:rPr>
          <w:rFonts w:cs="Arial"/>
        </w:rPr>
      </w:pPr>
      <w:r w:rsidRPr="00EF0769">
        <w:rPr>
          <w:rFonts w:cs="Arial"/>
        </w:rPr>
        <w:t>Responses are most helpful:</w:t>
      </w:r>
    </w:p>
    <w:p w14:paraId="571C26D7" w14:textId="77777777" w:rsidR="00F574D0" w:rsidRPr="00293D78" w:rsidRDefault="00F574D0" w:rsidP="00366E20">
      <w:pPr>
        <w:pStyle w:val="04BodyText"/>
        <w:numPr>
          <w:ilvl w:val="0"/>
          <w:numId w:val="36"/>
        </w:numPr>
        <w:spacing w:before="120" w:after="120"/>
        <w:rPr>
          <w:rFonts w:cs="Arial"/>
        </w:rPr>
      </w:pPr>
      <w:r w:rsidRPr="00293D78">
        <w:rPr>
          <w:rFonts w:cs="Arial"/>
        </w:rPr>
        <w:t>if they respond to the question stated;</w:t>
      </w:r>
    </w:p>
    <w:p w14:paraId="6E0AF6CC" w14:textId="77777777" w:rsidR="002E1760" w:rsidRPr="00293D78" w:rsidRDefault="002E1760" w:rsidP="00366E20">
      <w:pPr>
        <w:pStyle w:val="04BodyText"/>
        <w:numPr>
          <w:ilvl w:val="0"/>
          <w:numId w:val="36"/>
        </w:numPr>
        <w:spacing w:before="120" w:after="120"/>
        <w:rPr>
          <w:rFonts w:cs="Arial"/>
        </w:rPr>
      </w:pPr>
      <w:r w:rsidRPr="00293D78">
        <w:rPr>
          <w:rFonts w:cs="Arial"/>
        </w:rPr>
        <w:t>indicate the specific question to which the comment relates;</w:t>
      </w:r>
    </w:p>
    <w:p w14:paraId="35AAD124" w14:textId="77777777" w:rsidR="002E1760" w:rsidRPr="00293D78" w:rsidRDefault="002E1760" w:rsidP="00366E20">
      <w:pPr>
        <w:pStyle w:val="04BodyText"/>
        <w:numPr>
          <w:ilvl w:val="0"/>
          <w:numId w:val="36"/>
        </w:numPr>
        <w:spacing w:before="120" w:after="120"/>
        <w:rPr>
          <w:rFonts w:cs="Arial"/>
        </w:rPr>
      </w:pPr>
      <w:r w:rsidRPr="00293D78">
        <w:rPr>
          <w:rFonts w:cs="Arial"/>
        </w:rPr>
        <w:t>contain a clear rationale; and</w:t>
      </w:r>
    </w:p>
    <w:p w14:paraId="7526349B" w14:textId="77777777" w:rsidR="002E1760" w:rsidRPr="00293D78" w:rsidRDefault="002E1760" w:rsidP="00366E20">
      <w:pPr>
        <w:pStyle w:val="04BodyText"/>
        <w:numPr>
          <w:ilvl w:val="0"/>
          <w:numId w:val="36"/>
        </w:numPr>
        <w:spacing w:before="120" w:after="120"/>
        <w:rPr>
          <w:rFonts w:cs="Arial"/>
        </w:rPr>
      </w:pPr>
      <w:r w:rsidRPr="00293D78">
        <w:rPr>
          <w:rFonts w:cs="Arial"/>
        </w:rPr>
        <w:t>describe any alternatives ESMA should consider.</w:t>
      </w:r>
    </w:p>
    <w:p w14:paraId="55BD190A" w14:textId="77777777" w:rsidR="001D000A" w:rsidRDefault="001D000A" w:rsidP="000D17AA">
      <w:pPr>
        <w:pStyle w:val="04BodyText"/>
        <w:spacing w:before="120" w:after="120"/>
        <w:jc w:val="left"/>
        <w:rPr>
          <w:rFonts w:cs="Arial"/>
          <w:b/>
        </w:rPr>
      </w:pPr>
    </w:p>
    <w:p w14:paraId="527682DA" w14:textId="77777777" w:rsidR="000D17AA" w:rsidRPr="00EF0769" w:rsidRDefault="00606240" w:rsidP="000D17AA">
      <w:pPr>
        <w:pStyle w:val="04BodyText"/>
        <w:spacing w:before="120" w:after="120"/>
        <w:jc w:val="left"/>
        <w:rPr>
          <w:rFonts w:cs="Arial"/>
          <w:b/>
        </w:rPr>
      </w:pPr>
      <w:r>
        <w:rPr>
          <w:rFonts w:cs="Arial"/>
          <w:b/>
        </w:rPr>
        <w:t>Naming protocol</w:t>
      </w:r>
    </w:p>
    <w:p w14:paraId="2786C674" w14:textId="77777777" w:rsidR="000D17AA" w:rsidRPr="00EF0769" w:rsidRDefault="000D17AA" w:rsidP="000D17AA">
      <w:pPr>
        <w:pStyle w:val="04BodyText"/>
        <w:spacing w:before="120" w:after="120"/>
        <w:jc w:val="left"/>
        <w:rPr>
          <w:rFonts w:cs="Arial"/>
        </w:rPr>
      </w:pPr>
      <w:r w:rsidRPr="00EF0769">
        <w:rPr>
          <w:rFonts w:cs="Arial"/>
        </w:rPr>
        <w:t xml:space="preserve">In order to facilitate the handling of </w:t>
      </w:r>
      <w:r w:rsidR="009003B8" w:rsidRPr="00EF0769">
        <w:rPr>
          <w:rFonts w:cs="Arial"/>
        </w:rPr>
        <w:t>stakeholders’</w:t>
      </w:r>
      <w:r w:rsidRPr="00EF0769">
        <w:rPr>
          <w:rFonts w:cs="Arial"/>
        </w:rPr>
        <w:t xml:space="preserve"> responses please save your document using the following format:</w:t>
      </w:r>
    </w:p>
    <w:p w14:paraId="78782123" w14:textId="76F21CD9" w:rsidR="000D17AA" w:rsidRPr="00EF0769" w:rsidRDefault="00021E83" w:rsidP="000D17AA">
      <w:pPr>
        <w:pStyle w:val="04BodyText"/>
        <w:spacing w:before="120" w:after="120"/>
        <w:jc w:val="left"/>
        <w:rPr>
          <w:rFonts w:cs="Arial"/>
        </w:rPr>
      </w:pPr>
      <w:r w:rsidRPr="001B73D3">
        <w:rPr>
          <w:rFonts w:cs="Arial"/>
          <w:highlight w:val="yellow"/>
        </w:rPr>
        <w:t>ESMA_</w:t>
      </w:r>
      <w:r w:rsidR="00227C1A" w:rsidRPr="001B73D3">
        <w:rPr>
          <w:rFonts w:cs="Arial"/>
          <w:highlight w:val="yellow"/>
        </w:rPr>
        <w:t>CP</w:t>
      </w:r>
      <w:r w:rsidR="007254DD" w:rsidRPr="001B73D3">
        <w:rPr>
          <w:rFonts w:cs="Arial"/>
          <w:highlight w:val="yellow"/>
        </w:rPr>
        <w:t>_</w:t>
      </w:r>
      <w:r w:rsidR="00B92885">
        <w:rPr>
          <w:rFonts w:cs="Arial"/>
          <w:highlight w:val="yellow"/>
        </w:rPr>
        <w:t>FUNA</w:t>
      </w:r>
      <w:r w:rsidR="000A609F" w:rsidRPr="001B73D3">
        <w:rPr>
          <w:rFonts w:cs="Arial"/>
          <w:highlight w:val="yellow"/>
        </w:rPr>
        <w:t>_</w:t>
      </w:r>
      <w:r w:rsidRPr="001B73D3">
        <w:rPr>
          <w:rFonts w:cs="Arial"/>
          <w:highlight w:val="yellow"/>
        </w:rPr>
        <w:t>NAMEOFCOMPANY_</w:t>
      </w:r>
      <w:r w:rsidR="000C2054">
        <w:rPr>
          <w:rFonts w:cs="Arial"/>
          <w:highlight w:val="yellow"/>
        </w:rPr>
        <w:t>REPLYFORM</w:t>
      </w:r>
      <w:r w:rsidR="000D17AA" w:rsidRPr="001B73D3">
        <w:rPr>
          <w:rFonts w:cs="Arial"/>
          <w:highlight w:val="yellow"/>
        </w:rPr>
        <w:t>.</w:t>
      </w:r>
    </w:p>
    <w:p w14:paraId="339C231E" w14:textId="5B11E242" w:rsidR="00021E83" w:rsidRPr="00EF0769" w:rsidRDefault="00E90774" w:rsidP="000D17AA">
      <w:pPr>
        <w:pStyle w:val="04BodyText"/>
        <w:spacing w:before="120" w:after="120"/>
        <w:jc w:val="left"/>
        <w:rPr>
          <w:rFonts w:cs="Arial"/>
        </w:rPr>
      </w:pPr>
      <w:r>
        <w:rPr>
          <w:rFonts w:cs="Arial"/>
        </w:rPr>
        <w:t>e</w:t>
      </w:r>
      <w:r w:rsidR="000D17AA" w:rsidRPr="00EF0769">
        <w:rPr>
          <w:rFonts w:cs="Arial"/>
        </w:rPr>
        <w:t xml:space="preserve">.g. if the respondent were </w:t>
      </w:r>
      <w:r w:rsidR="00B92885">
        <w:rPr>
          <w:rFonts w:cs="Arial"/>
        </w:rPr>
        <w:t>ABCD</w:t>
      </w:r>
      <w:r w:rsidR="000D17AA" w:rsidRPr="00EF0769">
        <w:rPr>
          <w:rFonts w:cs="Arial"/>
        </w:rPr>
        <w:t xml:space="preserve">, the </w:t>
      </w:r>
      <w:r w:rsidR="00021E83" w:rsidRPr="00EF0769">
        <w:rPr>
          <w:rFonts w:cs="Arial"/>
        </w:rPr>
        <w:t>name of the reply form would be:</w:t>
      </w:r>
    </w:p>
    <w:p w14:paraId="07FC02DB" w14:textId="5319DAC7" w:rsidR="00021E83" w:rsidRPr="00EF0769" w:rsidRDefault="00021E83" w:rsidP="000D17AA">
      <w:pPr>
        <w:pStyle w:val="04BodyText"/>
        <w:spacing w:before="120" w:after="120"/>
        <w:jc w:val="left"/>
        <w:rPr>
          <w:rFonts w:cs="Arial"/>
        </w:rPr>
      </w:pPr>
      <w:r w:rsidRPr="001B73D3">
        <w:rPr>
          <w:rFonts w:cs="Arial"/>
          <w:highlight w:val="yellow"/>
        </w:rPr>
        <w:t>ESMA_</w:t>
      </w:r>
      <w:r w:rsidR="00227C1A" w:rsidRPr="001B73D3">
        <w:rPr>
          <w:rFonts w:cs="Arial"/>
          <w:highlight w:val="yellow"/>
        </w:rPr>
        <w:t>CP</w:t>
      </w:r>
      <w:r w:rsidR="007254DD" w:rsidRPr="001B73D3">
        <w:rPr>
          <w:rFonts w:cs="Arial"/>
          <w:highlight w:val="yellow"/>
        </w:rPr>
        <w:t>_</w:t>
      </w:r>
      <w:r w:rsidR="00B92885">
        <w:rPr>
          <w:rFonts w:cs="Arial"/>
          <w:highlight w:val="yellow"/>
        </w:rPr>
        <w:t>FUN</w:t>
      </w:r>
      <w:r w:rsidR="00733158" w:rsidRPr="001B73D3">
        <w:rPr>
          <w:rFonts w:cs="Arial"/>
          <w:highlight w:val="yellow"/>
        </w:rPr>
        <w:t>A</w:t>
      </w:r>
      <w:r w:rsidR="00227C1A" w:rsidRPr="001B73D3">
        <w:rPr>
          <w:rFonts w:cs="Arial"/>
          <w:highlight w:val="yellow"/>
        </w:rPr>
        <w:t>_</w:t>
      </w:r>
      <w:r w:rsidR="00B92885">
        <w:rPr>
          <w:rFonts w:cs="Arial"/>
          <w:highlight w:val="yellow"/>
        </w:rPr>
        <w:t>ABCD</w:t>
      </w:r>
      <w:r w:rsidRPr="001B73D3">
        <w:rPr>
          <w:rFonts w:cs="Arial"/>
          <w:highlight w:val="yellow"/>
        </w:rPr>
        <w:t>_REPLYFORM</w:t>
      </w:r>
    </w:p>
    <w:p w14:paraId="0A0F4C14" w14:textId="77777777" w:rsidR="00332304" w:rsidRDefault="00332304" w:rsidP="00332304">
      <w:pPr>
        <w:autoSpaceDE w:val="0"/>
        <w:autoSpaceDN w:val="0"/>
        <w:adjustRightInd w:val="0"/>
        <w:spacing w:before="120" w:after="120" w:line="276" w:lineRule="auto"/>
        <w:jc w:val="both"/>
        <w:rPr>
          <w:rFonts w:cs="Arial"/>
          <w:b/>
          <w:bCs/>
          <w:i/>
          <w:color w:val="000000"/>
          <w:szCs w:val="20"/>
          <w:lang w:eastAsia="en-GB"/>
        </w:rPr>
      </w:pPr>
    </w:p>
    <w:p w14:paraId="07E64F6B" w14:textId="77777777" w:rsidR="00332304" w:rsidRPr="00EF0769" w:rsidRDefault="00332304" w:rsidP="00332304">
      <w:pPr>
        <w:autoSpaceDE w:val="0"/>
        <w:autoSpaceDN w:val="0"/>
        <w:adjustRightInd w:val="0"/>
        <w:spacing w:before="120" w:after="120" w:line="276" w:lineRule="auto"/>
        <w:jc w:val="both"/>
        <w:rPr>
          <w:rFonts w:cs="Arial"/>
          <w:b/>
          <w:bCs/>
          <w:i/>
          <w:color w:val="000000"/>
          <w:szCs w:val="20"/>
          <w:lang w:eastAsia="en-GB"/>
        </w:rPr>
      </w:pPr>
      <w:r>
        <w:rPr>
          <w:rFonts w:cs="Arial"/>
          <w:b/>
          <w:bCs/>
          <w:i/>
          <w:color w:val="000000"/>
          <w:szCs w:val="20"/>
          <w:lang w:eastAsia="en-GB"/>
        </w:rPr>
        <w:t>Deadline</w:t>
      </w:r>
    </w:p>
    <w:p w14:paraId="29817F88" w14:textId="0B300711" w:rsidR="00F574D0" w:rsidRPr="00EF0769" w:rsidRDefault="00F574D0" w:rsidP="00F574D0">
      <w:pPr>
        <w:pStyle w:val="04BodyText"/>
        <w:spacing w:before="120" w:after="120"/>
        <w:rPr>
          <w:rFonts w:cs="Arial"/>
        </w:rPr>
      </w:pPr>
      <w:r w:rsidRPr="00EF0769">
        <w:rPr>
          <w:rFonts w:cs="Arial"/>
        </w:rPr>
        <w:t xml:space="preserve">Responses must reach us by </w:t>
      </w:r>
      <w:r w:rsidR="001B73D3">
        <w:rPr>
          <w:rFonts w:cs="Arial"/>
        </w:rPr>
        <w:t>20</w:t>
      </w:r>
      <w:r w:rsidR="00733158">
        <w:rPr>
          <w:rFonts w:cs="Arial"/>
        </w:rPr>
        <w:t xml:space="preserve"> </w:t>
      </w:r>
      <w:r w:rsidR="001B73D3">
        <w:rPr>
          <w:rFonts w:cs="Arial"/>
        </w:rPr>
        <w:t>February</w:t>
      </w:r>
      <w:r w:rsidR="00733158">
        <w:rPr>
          <w:rFonts w:cs="Arial"/>
        </w:rPr>
        <w:t xml:space="preserve"> </w:t>
      </w:r>
      <w:r w:rsidR="00591CDF" w:rsidRPr="00267551">
        <w:rPr>
          <w:rFonts w:cs="Arial"/>
        </w:rPr>
        <w:t>202</w:t>
      </w:r>
      <w:r w:rsidR="00733158">
        <w:rPr>
          <w:rFonts w:cs="Arial"/>
        </w:rPr>
        <w:t>2</w:t>
      </w:r>
      <w:r w:rsidR="00021E83" w:rsidRPr="00267551">
        <w:rPr>
          <w:rFonts w:cs="Arial"/>
        </w:rPr>
        <w:t>.</w:t>
      </w:r>
    </w:p>
    <w:p w14:paraId="68065F11" w14:textId="77777777" w:rsidR="00332304" w:rsidRDefault="002E1760" w:rsidP="002E1760">
      <w:pPr>
        <w:autoSpaceDE w:val="0"/>
        <w:autoSpaceDN w:val="0"/>
        <w:adjustRightInd w:val="0"/>
        <w:spacing w:before="120" w:after="120" w:line="276" w:lineRule="auto"/>
        <w:jc w:val="both"/>
        <w:rPr>
          <w:rFonts w:cs="Arial"/>
          <w:b/>
          <w:bCs/>
          <w:i/>
          <w:color w:val="000000"/>
          <w:szCs w:val="20"/>
          <w:lang w:eastAsia="en-GB"/>
        </w:rPr>
      </w:pPr>
      <w:bookmarkStart w:id="1" w:name="_Toc335141334"/>
      <w:r w:rsidRPr="005B6B12">
        <w:t xml:space="preserve">All contributions should be submitted online at </w:t>
      </w:r>
      <w:permStart w:id="82257371" w:edGrp="everyone"/>
      <w:r w:rsidR="0066246A">
        <w:fldChar w:fldCharType="begin"/>
      </w:r>
      <w:r w:rsidR="0066246A">
        <w:instrText>HYPERLINK "http://www.esma.europa.eu"</w:instrText>
      </w:r>
      <w:r w:rsidR="0066246A">
        <w:fldChar w:fldCharType="separate"/>
      </w:r>
      <w:r w:rsidRPr="005B6B12">
        <w:rPr>
          <w:rStyle w:val="Hipervnculo"/>
        </w:rPr>
        <w:t>www.esma.europa.eu</w:t>
      </w:r>
      <w:r w:rsidR="0066246A">
        <w:rPr>
          <w:rStyle w:val="Hipervnculo"/>
        </w:rPr>
        <w:fldChar w:fldCharType="end"/>
      </w:r>
      <w:permEnd w:id="82257371"/>
      <w:r w:rsidRPr="005B6B12">
        <w:t xml:space="preserve"> under the heading ‘Your input - Consultations’.</w:t>
      </w:r>
    </w:p>
    <w:p w14:paraId="577A0723" w14:textId="77777777" w:rsidR="00A3026E" w:rsidRDefault="00A3026E" w:rsidP="00F574D0">
      <w:pPr>
        <w:autoSpaceDE w:val="0"/>
        <w:autoSpaceDN w:val="0"/>
        <w:adjustRightInd w:val="0"/>
        <w:spacing w:before="120" w:after="120" w:line="276" w:lineRule="auto"/>
        <w:jc w:val="both"/>
        <w:rPr>
          <w:rFonts w:cs="Arial"/>
          <w:b/>
          <w:bCs/>
          <w:i/>
          <w:color w:val="000000"/>
          <w:szCs w:val="20"/>
          <w:lang w:eastAsia="en-GB"/>
        </w:rPr>
      </w:pPr>
    </w:p>
    <w:p w14:paraId="7F709C22" w14:textId="77777777"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Publication of responses</w:t>
      </w:r>
      <w:bookmarkEnd w:id="1"/>
    </w:p>
    <w:p w14:paraId="1E22BD10" w14:textId="77777777" w:rsidR="00F574D0" w:rsidRPr="00EF0769" w:rsidRDefault="00F574D0" w:rsidP="00F574D0">
      <w:pPr>
        <w:pStyle w:val="04BodyText"/>
        <w:spacing w:before="120" w:after="120"/>
        <w:rPr>
          <w:rFonts w:cs="Arial"/>
        </w:rPr>
      </w:pPr>
      <w:r w:rsidRPr="00EF0769">
        <w:rPr>
          <w:rFonts w:cs="Arial"/>
        </w:rPr>
        <w:lastRenderedPageBreak/>
        <w:t xml:space="preserve">All contributions received will be published following the end of the consultation period, unless otherwise requested. </w:t>
      </w:r>
      <w:r w:rsidRPr="00EF0769">
        <w:rPr>
          <w:rFonts w:cs="Arial"/>
          <w:b/>
        </w:rPr>
        <w:t>Please clearly indicate by ticking the appropriate checkbox in the website submission form if you do not wish your contribution to be publicly disclosed. A standard confidentiality statement in an email message will not be treated as a request for non-disclosure.</w:t>
      </w:r>
      <w:r w:rsidRPr="00EF0769">
        <w:rPr>
          <w:rFonts w:cs="Arial"/>
        </w:rPr>
        <w:t xml:space="preserve"> Note also that a confidential response may be requested from us in accordance with ESMA’s rules on access to documents. We may consult you if we receive such a request. Any decision we make is reviewable by ESMA’s Board of Appeal and the European Ombudsman.</w:t>
      </w:r>
    </w:p>
    <w:p w14:paraId="35BBDA44" w14:textId="77777777" w:rsidR="00332304" w:rsidRDefault="00332304" w:rsidP="00F574D0">
      <w:pPr>
        <w:autoSpaceDE w:val="0"/>
        <w:autoSpaceDN w:val="0"/>
        <w:adjustRightInd w:val="0"/>
        <w:spacing w:before="120" w:after="120" w:line="276" w:lineRule="auto"/>
        <w:jc w:val="both"/>
        <w:rPr>
          <w:rFonts w:cs="Arial"/>
          <w:b/>
          <w:bCs/>
          <w:i/>
          <w:color w:val="000000"/>
          <w:szCs w:val="20"/>
          <w:lang w:eastAsia="en-GB"/>
        </w:rPr>
      </w:pPr>
      <w:bookmarkStart w:id="2" w:name="_Toc335141335"/>
    </w:p>
    <w:p w14:paraId="02B1392D" w14:textId="77777777"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Data protection</w:t>
      </w:r>
      <w:bookmarkEnd w:id="2"/>
    </w:p>
    <w:p w14:paraId="63EB17FC" w14:textId="77777777" w:rsidR="00F574D0" w:rsidRDefault="00F574D0" w:rsidP="00F574D0">
      <w:pPr>
        <w:autoSpaceDE w:val="0"/>
        <w:autoSpaceDN w:val="0"/>
        <w:adjustRightInd w:val="0"/>
        <w:spacing w:before="120" w:after="120" w:line="276" w:lineRule="auto"/>
        <w:jc w:val="both"/>
        <w:rPr>
          <w:rFonts w:cs="Arial"/>
          <w:szCs w:val="20"/>
        </w:rPr>
      </w:pPr>
      <w:r w:rsidRPr="00EF0769">
        <w:rPr>
          <w:rFonts w:cs="Arial"/>
          <w:szCs w:val="20"/>
        </w:rPr>
        <w:t xml:space="preserve">Information on data protection can be found at </w:t>
      </w:r>
      <w:hyperlink r:id="rId17" w:history="1">
        <w:r w:rsidRPr="00EF0769">
          <w:rPr>
            <w:rStyle w:val="Hipervnculo"/>
            <w:rFonts w:cs="Arial"/>
            <w:szCs w:val="20"/>
          </w:rPr>
          <w:t>www.esma.europa.eu</w:t>
        </w:r>
      </w:hyperlink>
      <w:r w:rsidRPr="00EF0769">
        <w:rPr>
          <w:rFonts w:cs="Arial"/>
          <w:szCs w:val="20"/>
        </w:rPr>
        <w:t xml:space="preserve"> under the </w:t>
      </w:r>
      <w:r w:rsidR="003755C6" w:rsidRPr="00440AB1">
        <w:rPr>
          <w:rFonts w:cs="Arial"/>
          <w:szCs w:val="22"/>
          <w:lang w:eastAsia="en-GB"/>
        </w:rPr>
        <w:t>heading</w:t>
      </w:r>
      <w:r w:rsidR="00AD0C8A">
        <w:rPr>
          <w:rFonts w:cs="Arial"/>
          <w:szCs w:val="22"/>
          <w:lang w:eastAsia="en-GB"/>
        </w:rPr>
        <w:t>s</w:t>
      </w:r>
      <w:r w:rsidR="003755C6" w:rsidRPr="00440AB1">
        <w:rPr>
          <w:rFonts w:cs="Arial"/>
          <w:szCs w:val="22"/>
          <w:lang w:eastAsia="en-GB"/>
        </w:rPr>
        <w:t xml:space="preserve"> ‘Legal notice’</w:t>
      </w:r>
      <w:r w:rsidR="00AD0C8A">
        <w:rPr>
          <w:rFonts w:cs="Arial"/>
          <w:szCs w:val="22"/>
          <w:lang w:eastAsia="en-GB"/>
        </w:rPr>
        <w:t xml:space="preserve"> </w:t>
      </w:r>
      <w:r w:rsidR="00AD0C8A" w:rsidRPr="00AD0C8A">
        <w:rPr>
          <w:rFonts w:cs="Arial"/>
          <w:szCs w:val="22"/>
          <w:lang w:eastAsia="en-GB"/>
        </w:rPr>
        <w:t>and ‘Data protection’</w:t>
      </w:r>
      <w:r w:rsidRPr="00AD0C8A">
        <w:rPr>
          <w:rFonts w:cs="Arial"/>
          <w:szCs w:val="22"/>
          <w:lang w:eastAsia="en-GB"/>
        </w:rPr>
        <w:t>.</w:t>
      </w:r>
    </w:p>
    <w:p w14:paraId="4D0417EF" w14:textId="77777777" w:rsidR="003755C6" w:rsidRDefault="003755C6" w:rsidP="00F574D0">
      <w:pPr>
        <w:autoSpaceDE w:val="0"/>
        <w:autoSpaceDN w:val="0"/>
        <w:adjustRightInd w:val="0"/>
        <w:spacing w:before="120" w:after="120" w:line="276" w:lineRule="auto"/>
        <w:jc w:val="both"/>
        <w:rPr>
          <w:rFonts w:cs="Arial"/>
          <w:szCs w:val="20"/>
        </w:rPr>
      </w:pPr>
    </w:p>
    <w:bookmarkEnd w:id="0"/>
    <w:p w14:paraId="31170032" w14:textId="77777777" w:rsidR="00332304" w:rsidRDefault="00332304">
      <w:pPr>
        <w:rPr>
          <w:rFonts w:cs="Arial"/>
          <w:b/>
          <w:bCs/>
          <w:kern w:val="32"/>
          <w:sz w:val="24"/>
          <w:szCs w:val="32"/>
        </w:rPr>
      </w:pPr>
      <w:r>
        <w:br w:type="page"/>
      </w:r>
    </w:p>
    <w:p w14:paraId="5A6F45DF" w14:textId="77777777" w:rsidR="00F87897" w:rsidRPr="00AB6D88" w:rsidRDefault="00F87897" w:rsidP="00F87897">
      <w:pPr>
        <w:pStyle w:val="Ttulo1"/>
        <w:numPr>
          <w:ilvl w:val="0"/>
          <w:numId w:val="0"/>
        </w:numPr>
      </w:pPr>
      <w:r w:rsidRPr="00AB6D88">
        <w:lastRenderedPageBreak/>
        <w:t>General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C2682A" w:rsidRPr="00AB6D88" w14:paraId="0DC9EAA1" w14:textId="77777777" w:rsidTr="00FA5524">
        <w:tc>
          <w:tcPr>
            <w:tcW w:w="3929" w:type="dxa"/>
            <w:shd w:val="clear" w:color="auto" w:fill="auto"/>
          </w:tcPr>
          <w:p w14:paraId="79D84F54" w14:textId="77777777" w:rsidR="00C2682A" w:rsidRPr="00E40A5C" w:rsidRDefault="00C2682A" w:rsidP="00FA5524">
            <w:pPr>
              <w:rPr>
                <w:rFonts w:cs="Arial"/>
                <w:sz w:val="22"/>
              </w:rPr>
            </w:pPr>
            <w:permStart w:id="1306485207" w:edGrp="everyone" w:colFirst="1" w:colLast="1"/>
            <w:r w:rsidRPr="00E40A5C">
              <w:rPr>
                <w:rFonts w:cs="Arial"/>
                <w:sz w:val="22"/>
              </w:rPr>
              <w:t>Name of the company / organisation</w:t>
            </w:r>
          </w:p>
        </w:tc>
        <w:sdt>
          <w:sdtPr>
            <w:rPr>
              <w:rStyle w:val="Textodelmarcadordeposicin"/>
              <w:rFonts w:cs="Arial"/>
            </w:rPr>
            <w:id w:val="651570699"/>
            <w:showingPlcHdr/>
            <w:text/>
          </w:sdtPr>
          <w:sdtEndPr>
            <w:rPr>
              <w:rStyle w:val="Textodelmarcadordeposicin"/>
            </w:rPr>
          </w:sdtEndPr>
          <w:sdtContent>
            <w:tc>
              <w:tcPr>
                <w:tcW w:w="5595" w:type="dxa"/>
                <w:shd w:val="clear" w:color="auto" w:fill="auto"/>
              </w:tcPr>
              <w:p w14:paraId="7A68491E" w14:textId="0B94A4FB" w:rsidR="00C2682A" w:rsidRPr="00AB6D88" w:rsidRDefault="00B92885" w:rsidP="00FA5524">
                <w:pPr>
                  <w:rPr>
                    <w:rStyle w:val="Textodelmarcadordeposicin"/>
                    <w:rFonts w:cs="Arial"/>
                  </w:rPr>
                </w:pPr>
                <w:r>
                  <w:rPr>
                    <w:rStyle w:val="Textodelmarcadordeposicin"/>
                    <w:rFonts w:cs="Arial"/>
                  </w:rPr>
                  <w:t xml:space="preserve">     </w:t>
                </w:r>
              </w:p>
            </w:tc>
          </w:sdtContent>
        </w:sdt>
      </w:tr>
      <w:tr w:rsidR="00C2682A" w:rsidRPr="00AB6D88" w14:paraId="14AD8510" w14:textId="77777777" w:rsidTr="00FA5524">
        <w:tc>
          <w:tcPr>
            <w:tcW w:w="3929" w:type="dxa"/>
            <w:shd w:val="clear" w:color="auto" w:fill="auto"/>
          </w:tcPr>
          <w:p w14:paraId="163AD72A" w14:textId="77777777" w:rsidR="00C2682A" w:rsidRPr="00E40A5C" w:rsidRDefault="00C2682A" w:rsidP="00FA5524">
            <w:pPr>
              <w:rPr>
                <w:rFonts w:cs="Arial"/>
                <w:sz w:val="22"/>
              </w:rPr>
            </w:pPr>
            <w:permStart w:id="1273764253" w:edGrp="everyone" w:colFirst="1" w:colLast="1"/>
            <w:permEnd w:id="1306485207"/>
            <w:r w:rsidRPr="00E40A5C">
              <w:rPr>
                <w:rFonts w:cs="Arial"/>
                <w:sz w:val="22"/>
              </w:rPr>
              <w:t>Activity</w:t>
            </w:r>
          </w:p>
        </w:tc>
        <w:tc>
          <w:tcPr>
            <w:tcW w:w="5595" w:type="dxa"/>
            <w:shd w:val="clear" w:color="auto" w:fill="auto"/>
          </w:tcPr>
          <w:p w14:paraId="6A5D3455" w14:textId="42B56FA4" w:rsidR="00C2682A" w:rsidRPr="00AB6D88" w:rsidRDefault="00925149" w:rsidP="00FA5524">
            <w:pPr>
              <w:rPr>
                <w:rFonts w:cs="Arial"/>
              </w:rPr>
            </w:pPr>
            <w:sdt>
              <w:sdtPr>
                <w:rPr>
                  <w:rFonts w:cs="Arial"/>
                </w:rPr>
                <w:alias w:val="Activity"/>
                <w:tag w:val="Activity"/>
                <w:id w:val="-1255357665"/>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D4017D">
                  <w:rPr>
                    <w:rFonts w:cs="Arial"/>
                  </w:rPr>
                  <w:t>Banking sector</w:t>
                </w:r>
              </w:sdtContent>
            </w:sdt>
          </w:p>
        </w:tc>
      </w:tr>
      <w:tr w:rsidR="00C2682A" w:rsidRPr="00AB6D88" w14:paraId="523B9D2D" w14:textId="77777777" w:rsidTr="00FA5524">
        <w:tc>
          <w:tcPr>
            <w:tcW w:w="3929" w:type="dxa"/>
            <w:shd w:val="clear" w:color="auto" w:fill="auto"/>
          </w:tcPr>
          <w:p w14:paraId="5FD664AB" w14:textId="77777777" w:rsidR="00C2682A" w:rsidRPr="00E40A5C" w:rsidRDefault="00C2682A" w:rsidP="00FA5524">
            <w:pPr>
              <w:rPr>
                <w:rFonts w:cs="Arial"/>
                <w:sz w:val="22"/>
              </w:rPr>
            </w:pPr>
            <w:permStart w:id="366504703" w:edGrp="everyone" w:colFirst="1" w:colLast="1"/>
            <w:permEnd w:id="1273764253"/>
            <w:r w:rsidRPr="00E40A5C">
              <w:rPr>
                <w:rFonts w:cs="Arial"/>
                <w:sz w:val="22"/>
              </w:rPr>
              <w:t>Are you representing an association?</w:t>
            </w:r>
          </w:p>
        </w:tc>
        <w:sdt>
          <w:sdtPr>
            <w:rPr>
              <w:rFonts w:cs="Arial"/>
            </w:rPr>
            <w:id w:val="-226150188"/>
            <w14:checkbox>
              <w14:checked w14:val="0"/>
              <w14:checkedState w14:val="2612" w14:font="MS Gothic"/>
              <w14:uncheckedState w14:val="2610" w14:font="MS Gothic"/>
            </w14:checkbox>
          </w:sdtPr>
          <w:sdtEndPr/>
          <w:sdtContent>
            <w:tc>
              <w:tcPr>
                <w:tcW w:w="5595" w:type="dxa"/>
                <w:shd w:val="clear" w:color="auto" w:fill="auto"/>
              </w:tcPr>
              <w:p w14:paraId="3EE0D441" w14:textId="41F79C44" w:rsidR="00C2682A" w:rsidRPr="00AB6D88" w:rsidRDefault="00D4017D" w:rsidP="00FA5524">
                <w:pPr>
                  <w:rPr>
                    <w:rFonts w:cs="Arial"/>
                  </w:rPr>
                </w:pPr>
                <w:r>
                  <w:rPr>
                    <w:rFonts w:ascii="MS Gothic" w:eastAsia="MS Gothic" w:hAnsi="MS Gothic" w:cs="Arial" w:hint="eastAsia"/>
                  </w:rPr>
                  <w:t>☐</w:t>
                </w:r>
              </w:p>
            </w:tc>
          </w:sdtContent>
        </w:sdt>
      </w:tr>
      <w:tr w:rsidR="00C2682A" w:rsidRPr="00AB6D88" w14:paraId="5F411987" w14:textId="77777777" w:rsidTr="00FA5524">
        <w:tc>
          <w:tcPr>
            <w:tcW w:w="3929" w:type="dxa"/>
            <w:shd w:val="clear" w:color="auto" w:fill="auto"/>
          </w:tcPr>
          <w:p w14:paraId="54099FD6" w14:textId="77777777" w:rsidR="00C2682A" w:rsidRPr="00E40A5C" w:rsidRDefault="00C2682A" w:rsidP="00FA5524">
            <w:pPr>
              <w:rPr>
                <w:rFonts w:cs="Arial"/>
                <w:sz w:val="22"/>
              </w:rPr>
            </w:pPr>
            <w:permStart w:id="1727412903" w:edGrp="everyone" w:colFirst="1" w:colLast="1"/>
            <w:permEnd w:id="366504703"/>
            <w:r w:rsidRPr="00E40A5C">
              <w:rPr>
                <w:rFonts w:cs="Arial"/>
                <w:sz w:val="22"/>
              </w:rPr>
              <w:t>Country/Region</w:t>
            </w:r>
          </w:p>
        </w:tc>
        <w:sdt>
          <w:sdtPr>
            <w:rPr>
              <w:rFonts w:cs="Arial"/>
            </w:rPr>
            <w:alias w:val="Country"/>
            <w:tag w:val="Country"/>
            <w:id w:val="1761644368"/>
            <w:showingPlcHdr/>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1045C271" w14:textId="53E66A9C" w:rsidR="00C2682A" w:rsidRPr="00AB6D88" w:rsidRDefault="0060161A" w:rsidP="00FA5524">
                <w:pPr>
                  <w:rPr>
                    <w:rFonts w:cs="Arial"/>
                  </w:rPr>
                </w:pPr>
                <w:r>
                  <w:rPr>
                    <w:rFonts w:cs="Arial"/>
                  </w:rPr>
                  <w:t xml:space="preserve">     </w:t>
                </w:r>
              </w:p>
            </w:tc>
          </w:sdtContent>
        </w:sdt>
      </w:tr>
      <w:permEnd w:id="1727412903"/>
    </w:tbl>
    <w:p w14:paraId="5F7D3DE3" w14:textId="77777777" w:rsidR="00C2682A" w:rsidRDefault="00C2682A" w:rsidP="00F87897">
      <w:pPr>
        <w:spacing w:after="120" w:line="264" w:lineRule="auto"/>
      </w:pPr>
    </w:p>
    <w:p w14:paraId="62BC123E" w14:textId="77777777" w:rsidR="00F87897" w:rsidRDefault="00F87897" w:rsidP="00F87897">
      <w:pPr>
        <w:spacing w:after="120" w:line="264" w:lineRule="auto"/>
      </w:pPr>
    </w:p>
    <w:p w14:paraId="6414BA20" w14:textId="77777777" w:rsidR="00F87897" w:rsidRDefault="00F87897" w:rsidP="00F87897">
      <w:pPr>
        <w:pStyle w:val="Ttulo1"/>
        <w:numPr>
          <w:ilvl w:val="0"/>
          <w:numId w:val="0"/>
        </w:numPr>
        <w:ind w:left="431" w:hanging="431"/>
      </w:pPr>
      <w:r>
        <w:t>Introduction</w:t>
      </w:r>
    </w:p>
    <w:p w14:paraId="0A354328" w14:textId="77777777" w:rsidR="00F87897" w:rsidRPr="001D47A5" w:rsidRDefault="00F87897" w:rsidP="00F87897">
      <w:pPr>
        <w:rPr>
          <w:rStyle w:val="nfasisintenso"/>
        </w:rPr>
      </w:pPr>
      <w:r w:rsidRPr="001D47A5">
        <w:rPr>
          <w:rStyle w:val="nfasisintenso"/>
        </w:rPr>
        <w:t>Please make your introductory comments below, if any:</w:t>
      </w:r>
    </w:p>
    <w:p w14:paraId="385E0DBA" w14:textId="77777777" w:rsidR="00F87897" w:rsidRPr="00BF28DA" w:rsidRDefault="00F87897" w:rsidP="00F87897"/>
    <w:p w14:paraId="2487CCBE" w14:textId="77777777" w:rsidR="00B92885" w:rsidRPr="00B92885" w:rsidRDefault="00B92885" w:rsidP="00B92885">
      <w:pPr>
        <w:spacing w:after="160" w:line="259" w:lineRule="auto"/>
        <w:rPr>
          <w:rFonts w:ascii="Calibri" w:eastAsia="Calibri" w:hAnsi="Calibri"/>
          <w:sz w:val="22"/>
          <w:szCs w:val="22"/>
          <w:lang w:eastAsia="en-US"/>
        </w:rPr>
      </w:pPr>
      <w:r w:rsidRPr="00B92885">
        <w:rPr>
          <w:rFonts w:ascii="Calibri" w:eastAsia="Calibri" w:hAnsi="Calibri"/>
          <w:sz w:val="22"/>
          <w:szCs w:val="22"/>
          <w:lang w:eastAsia="en-US"/>
        </w:rPr>
        <w:t>&lt;ESMA_QUESTION_FUNA_0&gt;</w:t>
      </w:r>
    </w:p>
    <w:p w14:paraId="4BDA0C17" w14:textId="77777777" w:rsidR="00925149" w:rsidRDefault="00925149" w:rsidP="006E59DD">
      <w:pPr>
        <w:tabs>
          <w:tab w:val="left" w:pos="1200"/>
        </w:tabs>
        <w:spacing w:after="160" w:line="259" w:lineRule="auto"/>
        <w:ind w:right="-177"/>
        <w:jc w:val="both"/>
        <w:rPr>
          <w:rFonts w:ascii="Arial Narrow" w:eastAsia="Calibri" w:hAnsi="Arial Narrow"/>
          <w:sz w:val="22"/>
          <w:szCs w:val="22"/>
          <w:lang w:val="en-US" w:eastAsia="en-US"/>
        </w:rPr>
      </w:pPr>
      <w:permStart w:id="1100430741" w:edGrp="everyone"/>
    </w:p>
    <w:p w14:paraId="063C4218" w14:textId="335E8326" w:rsidR="006E59DD" w:rsidRPr="006E59DD" w:rsidRDefault="006E59DD" w:rsidP="006E59DD">
      <w:pPr>
        <w:tabs>
          <w:tab w:val="left" w:pos="1200"/>
        </w:tabs>
        <w:spacing w:after="160" w:line="259" w:lineRule="auto"/>
        <w:ind w:right="-177"/>
        <w:jc w:val="both"/>
        <w:rPr>
          <w:rFonts w:ascii="Arial Narrow" w:eastAsia="Calibri" w:hAnsi="Arial Narrow"/>
          <w:sz w:val="22"/>
          <w:szCs w:val="22"/>
          <w:lang w:val="en-US" w:eastAsia="en-US"/>
        </w:rPr>
      </w:pPr>
      <w:r w:rsidRPr="006E59DD">
        <w:rPr>
          <w:rFonts w:ascii="Arial Narrow" w:eastAsia="Calibri" w:hAnsi="Arial Narrow"/>
          <w:sz w:val="22"/>
          <w:szCs w:val="22"/>
          <w:lang w:val="en-US" w:eastAsia="en-US"/>
        </w:rPr>
        <w:t xml:space="preserve">INVERCO is the Spanish Association </w:t>
      </w:r>
      <w:r w:rsidR="006D0F67">
        <w:rPr>
          <w:rFonts w:ascii="Arial Narrow" w:eastAsia="Calibri" w:hAnsi="Arial Narrow"/>
          <w:sz w:val="22"/>
          <w:szCs w:val="22"/>
          <w:lang w:val="en-US" w:eastAsia="en-US"/>
        </w:rPr>
        <w:t>that brin</w:t>
      </w:r>
      <w:r w:rsidRPr="006E59DD">
        <w:rPr>
          <w:rFonts w:ascii="Arial Narrow" w:eastAsia="Calibri" w:hAnsi="Arial Narrow"/>
          <w:sz w:val="22"/>
          <w:szCs w:val="22"/>
          <w:lang w:val="en-US" w:eastAsia="en-US"/>
        </w:rPr>
        <w:t xml:space="preserve">gs together the Spanish </w:t>
      </w:r>
      <w:r w:rsidR="004E35F6" w:rsidRPr="004E35F6">
        <w:rPr>
          <w:rFonts w:ascii="Arial Narrow" w:eastAsia="Calibri" w:hAnsi="Arial Narrow"/>
          <w:sz w:val="22"/>
          <w:szCs w:val="22"/>
          <w:lang w:val="en-US" w:eastAsia="en-US"/>
        </w:rPr>
        <w:t xml:space="preserve">Collective Investment Schemes (“CIS”) </w:t>
      </w:r>
      <w:r w:rsidRPr="006E59DD">
        <w:rPr>
          <w:rFonts w:ascii="Arial Narrow" w:eastAsia="Calibri" w:hAnsi="Arial Narrow"/>
          <w:sz w:val="22"/>
          <w:szCs w:val="22"/>
          <w:lang w:val="en-US" w:eastAsia="en-US"/>
        </w:rPr>
        <w:t>(both Funds and Companies), the Spanish Pension Plans and Funds (“PFP”) and the foreign CIS registered with the Spanish Securities and Markets Commission (hereinafter, the “CNMV”) for them to be marketed in Spain, as well as various Associate Members.</w:t>
      </w:r>
    </w:p>
    <w:p w14:paraId="50C050FC" w14:textId="0698C330" w:rsidR="006E59DD" w:rsidRPr="006E59DD" w:rsidRDefault="006E59DD" w:rsidP="006E59DD">
      <w:pPr>
        <w:spacing w:after="160" w:line="259" w:lineRule="auto"/>
        <w:ind w:right="-177"/>
        <w:jc w:val="both"/>
        <w:rPr>
          <w:rFonts w:ascii="Arial Narrow" w:eastAsia="Calibri" w:hAnsi="Arial Narrow"/>
          <w:sz w:val="22"/>
          <w:szCs w:val="22"/>
          <w:lang w:val="en-US" w:eastAsia="en-US"/>
        </w:rPr>
      </w:pPr>
      <w:r w:rsidRPr="006E59DD">
        <w:rPr>
          <w:rFonts w:ascii="Arial Narrow" w:eastAsia="Calibri" w:hAnsi="Arial Narrow"/>
          <w:sz w:val="22"/>
          <w:szCs w:val="22"/>
          <w:lang w:val="en-US" w:eastAsia="en-US"/>
        </w:rPr>
        <w:t xml:space="preserve">INVERCO appreciates ESMA's efforts to provide harmonized criteria for the naming of Funds and welcomes the opportunity to participate in this Consultation. </w:t>
      </w:r>
      <w:r w:rsidR="006D0F67">
        <w:rPr>
          <w:rFonts w:ascii="Arial Narrow" w:eastAsia="Calibri" w:hAnsi="Arial Narrow"/>
          <w:sz w:val="22"/>
          <w:szCs w:val="22"/>
          <w:lang w:val="en-US" w:eastAsia="en-US"/>
        </w:rPr>
        <w:t xml:space="preserve">Likewise, </w:t>
      </w:r>
      <w:r w:rsidRPr="006E59DD">
        <w:rPr>
          <w:rFonts w:ascii="Arial Narrow" w:eastAsia="Calibri" w:hAnsi="Arial Narrow"/>
          <w:sz w:val="22"/>
          <w:szCs w:val="22"/>
          <w:lang w:val="en-US" w:eastAsia="en-US"/>
        </w:rPr>
        <w:t xml:space="preserve">we </w:t>
      </w:r>
      <w:r w:rsidR="006D0F67">
        <w:rPr>
          <w:rFonts w:ascii="Arial Narrow" w:eastAsia="Calibri" w:hAnsi="Arial Narrow"/>
          <w:sz w:val="22"/>
          <w:szCs w:val="22"/>
          <w:lang w:val="en-US" w:eastAsia="en-US"/>
        </w:rPr>
        <w:t>hope</w:t>
      </w:r>
      <w:r w:rsidRPr="006E59DD">
        <w:rPr>
          <w:rFonts w:ascii="Arial Narrow" w:eastAsia="Calibri" w:hAnsi="Arial Narrow"/>
          <w:sz w:val="22"/>
          <w:szCs w:val="22"/>
          <w:lang w:val="en-US" w:eastAsia="en-US"/>
        </w:rPr>
        <w:t xml:space="preserve"> that ESMA </w:t>
      </w:r>
      <w:r w:rsidR="004E35F6">
        <w:rPr>
          <w:rFonts w:ascii="Arial Narrow" w:eastAsia="Calibri" w:hAnsi="Arial Narrow"/>
          <w:sz w:val="22"/>
          <w:szCs w:val="22"/>
          <w:lang w:val="en-US" w:eastAsia="en-US"/>
        </w:rPr>
        <w:t>considers</w:t>
      </w:r>
      <w:r w:rsidRPr="006E59DD">
        <w:rPr>
          <w:rFonts w:ascii="Arial Narrow" w:eastAsia="Calibri" w:hAnsi="Arial Narrow"/>
          <w:sz w:val="22"/>
          <w:szCs w:val="22"/>
          <w:lang w:val="en-US" w:eastAsia="en-US"/>
        </w:rPr>
        <w:t xml:space="preserve"> the comments below and re</w:t>
      </w:r>
      <w:r w:rsidR="004E35F6">
        <w:rPr>
          <w:rFonts w:ascii="Arial Narrow" w:eastAsia="Calibri" w:hAnsi="Arial Narrow"/>
          <w:sz w:val="22"/>
          <w:szCs w:val="22"/>
          <w:lang w:val="en-US" w:eastAsia="en-US"/>
        </w:rPr>
        <w:t>think</w:t>
      </w:r>
      <w:r w:rsidRPr="006E59DD">
        <w:rPr>
          <w:rFonts w:ascii="Arial Narrow" w:eastAsia="Calibri" w:hAnsi="Arial Narrow"/>
          <w:sz w:val="22"/>
          <w:szCs w:val="22"/>
          <w:lang w:val="en-US" w:eastAsia="en-US"/>
        </w:rPr>
        <w:t xml:space="preserve"> the content of the proposed Guidelines to avoid negative impacts on the credibility of Funds, the </w:t>
      </w:r>
      <w:r w:rsidR="006D0F67">
        <w:rPr>
          <w:rFonts w:ascii="Arial Narrow" w:eastAsia="Calibri" w:hAnsi="Arial Narrow"/>
          <w:sz w:val="22"/>
          <w:szCs w:val="22"/>
          <w:lang w:val="en-US" w:eastAsia="en-US"/>
        </w:rPr>
        <w:t xml:space="preserve">European </w:t>
      </w:r>
      <w:r w:rsidRPr="006E59DD">
        <w:rPr>
          <w:rFonts w:ascii="Arial Narrow" w:eastAsia="Calibri" w:hAnsi="Arial Narrow"/>
          <w:sz w:val="22"/>
          <w:szCs w:val="22"/>
          <w:lang w:val="en-US" w:eastAsia="en-US"/>
        </w:rPr>
        <w:t>sustainable finance package</w:t>
      </w:r>
      <w:r w:rsidR="004E35F6">
        <w:rPr>
          <w:rFonts w:ascii="Arial Narrow" w:eastAsia="Calibri" w:hAnsi="Arial Narrow"/>
          <w:sz w:val="22"/>
          <w:szCs w:val="22"/>
          <w:lang w:val="en-US" w:eastAsia="en-US"/>
        </w:rPr>
        <w:t xml:space="preserve"> itself</w:t>
      </w:r>
      <w:r w:rsidRPr="006E59DD">
        <w:rPr>
          <w:rFonts w:ascii="Arial Narrow" w:eastAsia="Calibri" w:hAnsi="Arial Narrow"/>
          <w:sz w:val="22"/>
          <w:szCs w:val="22"/>
          <w:lang w:val="en-US" w:eastAsia="en-US"/>
        </w:rPr>
        <w:t>, as well as investor confidence (which is key for the effective redirection of capital to investments enabling the green transition).</w:t>
      </w:r>
    </w:p>
    <w:p w14:paraId="7CEFAB36" w14:textId="45A5A315" w:rsidR="006E59DD" w:rsidRPr="006E59DD" w:rsidRDefault="004E35F6" w:rsidP="006E59DD">
      <w:pPr>
        <w:spacing w:after="160" w:line="259" w:lineRule="auto"/>
        <w:jc w:val="both"/>
        <w:rPr>
          <w:rFonts w:ascii="Arial Narrow" w:eastAsia="Calibri" w:hAnsi="Arial Narrow"/>
          <w:sz w:val="22"/>
          <w:szCs w:val="22"/>
          <w:lang w:val="en-US" w:eastAsia="en-US"/>
        </w:rPr>
      </w:pPr>
      <w:r w:rsidRPr="004E35F6">
        <w:rPr>
          <w:rFonts w:ascii="Arial Narrow" w:eastAsia="Calibri" w:hAnsi="Arial Narrow"/>
          <w:sz w:val="22"/>
          <w:szCs w:val="22"/>
          <w:lang w:val="en-US" w:eastAsia="en-US"/>
        </w:rPr>
        <w:t>Before going into more detail on the content of the Consultation</w:t>
      </w:r>
      <w:r w:rsidR="006D0F67">
        <w:rPr>
          <w:rFonts w:ascii="Arial Narrow" w:eastAsia="Calibri" w:hAnsi="Arial Narrow"/>
          <w:sz w:val="22"/>
          <w:szCs w:val="22"/>
          <w:lang w:val="en-US" w:eastAsia="en-US"/>
        </w:rPr>
        <w:t>, t</w:t>
      </w:r>
      <w:r w:rsidR="006E59DD" w:rsidRPr="006E59DD">
        <w:rPr>
          <w:rFonts w:ascii="Arial Narrow" w:eastAsia="Calibri" w:hAnsi="Arial Narrow"/>
          <w:sz w:val="22"/>
          <w:szCs w:val="22"/>
          <w:lang w:val="en-US" w:eastAsia="en-US"/>
        </w:rPr>
        <w:t xml:space="preserve">his introduction includes preliminary considerations that should help </w:t>
      </w:r>
      <w:r>
        <w:rPr>
          <w:rFonts w:ascii="Arial Narrow" w:eastAsia="Calibri" w:hAnsi="Arial Narrow"/>
          <w:sz w:val="22"/>
          <w:szCs w:val="22"/>
          <w:lang w:val="en-US" w:eastAsia="en-US"/>
        </w:rPr>
        <w:t xml:space="preserve">putting </w:t>
      </w:r>
      <w:r w:rsidR="006E59DD" w:rsidRPr="006E59DD">
        <w:rPr>
          <w:rFonts w:ascii="Arial Narrow" w:eastAsia="Calibri" w:hAnsi="Arial Narrow"/>
          <w:sz w:val="22"/>
          <w:szCs w:val="22"/>
          <w:lang w:val="en-US" w:eastAsia="en-US"/>
        </w:rPr>
        <w:t>the following answers</w:t>
      </w:r>
      <w:r>
        <w:rPr>
          <w:rFonts w:ascii="Arial Narrow" w:eastAsia="Calibri" w:hAnsi="Arial Narrow"/>
          <w:sz w:val="22"/>
          <w:szCs w:val="22"/>
          <w:lang w:val="en-US" w:eastAsia="en-US"/>
        </w:rPr>
        <w:t xml:space="preserve"> into context</w:t>
      </w:r>
      <w:r w:rsidR="006E59DD" w:rsidRPr="006E59DD">
        <w:rPr>
          <w:rFonts w:ascii="Arial Narrow" w:eastAsia="Calibri" w:hAnsi="Arial Narrow"/>
          <w:sz w:val="22"/>
          <w:szCs w:val="22"/>
          <w:lang w:val="en-US" w:eastAsia="en-US"/>
        </w:rPr>
        <w:t xml:space="preserve">: </w:t>
      </w:r>
    </w:p>
    <w:p w14:paraId="11882464" w14:textId="5F45059A" w:rsidR="006E59DD" w:rsidRDefault="006E59DD" w:rsidP="00057085">
      <w:pPr>
        <w:numPr>
          <w:ilvl w:val="0"/>
          <w:numId w:val="39"/>
        </w:numPr>
        <w:spacing w:after="160" w:line="259" w:lineRule="auto"/>
        <w:contextualSpacing/>
        <w:jc w:val="both"/>
        <w:rPr>
          <w:rFonts w:ascii="Arial Narrow" w:eastAsia="Calibri" w:hAnsi="Arial Narrow"/>
          <w:b/>
          <w:bCs/>
          <w:sz w:val="22"/>
          <w:szCs w:val="22"/>
          <w:lang w:val="en-US" w:eastAsia="en-US"/>
        </w:rPr>
      </w:pPr>
      <w:r w:rsidRPr="006E59DD">
        <w:rPr>
          <w:rFonts w:ascii="Arial Narrow" w:eastAsia="Calibri" w:hAnsi="Arial Narrow"/>
          <w:b/>
          <w:bCs/>
          <w:sz w:val="22"/>
          <w:szCs w:val="22"/>
          <w:lang w:val="en-US" w:eastAsia="en-US"/>
        </w:rPr>
        <w:t>The role of ESMA Guidelines in the current sustainable finance framework</w:t>
      </w:r>
      <w:r w:rsidRPr="006E59DD">
        <w:rPr>
          <w:rFonts w:ascii="Arial Narrow" w:eastAsia="Calibri" w:hAnsi="Arial Narrow"/>
          <w:sz w:val="22"/>
          <w:szCs w:val="22"/>
          <w:lang w:val="en-US" w:eastAsia="en-US"/>
        </w:rPr>
        <w:t>:</w:t>
      </w:r>
      <w:r w:rsidRPr="006E59DD">
        <w:rPr>
          <w:rFonts w:ascii="Arial Narrow" w:eastAsia="Calibri" w:hAnsi="Arial Narrow"/>
          <w:b/>
          <w:bCs/>
          <w:sz w:val="22"/>
          <w:szCs w:val="22"/>
          <w:lang w:val="en-US" w:eastAsia="en-US"/>
        </w:rPr>
        <w:t xml:space="preserve"> </w:t>
      </w:r>
    </w:p>
    <w:p w14:paraId="75F4C8F9" w14:textId="77777777" w:rsidR="006E59DD" w:rsidRPr="006E59DD" w:rsidRDefault="006E59DD" w:rsidP="006E59DD">
      <w:pPr>
        <w:spacing w:after="160" w:line="259" w:lineRule="auto"/>
        <w:ind w:left="360"/>
        <w:contextualSpacing/>
        <w:jc w:val="both"/>
        <w:rPr>
          <w:rFonts w:ascii="Arial Narrow" w:eastAsia="Calibri" w:hAnsi="Arial Narrow"/>
          <w:b/>
          <w:bCs/>
          <w:sz w:val="22"/>
          <w:szCs w:val="22"/>
          <w:lang w:val="en-US" w:eastAsia="en-US"/>
        </w:rPr>
      </w:pPr>
    </w:p>
    <w:p w14:paraId="2EE8C7DA" w14:textId="0ED3C3FE" w:rsidR="006E59DD" w:rsidRPr="006E59DD" w:rsidRDefault="006E59DD" w:rsidP="006E59DD">
      <w:pPr>
        <w:spacing w:after="160" w:line="259" w:lineRule="auto"/>
        <w:ind w:left="284"/>
        <w:jc w:val="both"/>
        <w:rPr>
          <w:rFonts w:ascii="Arial Narrow" w:eastAsia="Calibri" w:hAnsi="Arial Narrow"/>
          <w:sz w:val="22"/>
          <w:szCs w:val="22"/>
          <w:lang w:val="en-US" w:eastAsia="en-US"/>
        </w:rPr>
      </w:pPr>
      <w:r w:rsidRPr="006E59DD">
        <w:rPr>
          <w:rFonts w:ascii="Arial Narrow" w:eastAsia="Calibri" w:hAnsi="Arial Narrow"/>
          <w:sz w:val="22"/>
          <w:szCs w:val="22"/>
          <w:lang w:val="en-US" w:eastAsia="en-US"/>
        </w:rPr>
        <w:t>The European Commission's (EC) Sustainable Finance Action Plan has sponsored the development of a complex regulatory package that</w:t>
      </w:r>
      <w:r w:rsidR="004E35F6">
        <w:rPr>
          <w:rFonts w:ascii="Arial Narrow" w:eastAsia="Calibri" w:hAnsi="Arial Narrow"/>
          <w:sz w:val="22"/>
          <w:szCs w:val="22"/>
          <w:lang w:val="en-US" w:eastAsia="en-US"/>
        </w:rPr>
        <w:t xml:space="preserve"> pivots </w:t>
      </w:r>
      <w:r w:rsidRPr="006E59DD">
        <w:rPr>
          <w:rFonts w:ascii="Arial Narrow" w:eastAsia="Calibri" w:hAnsi="Arial Narrow"/>
          <w:sz w:val="22"/>
          <w:szCs w:val="22"/>
          <w:lang w:val="en-US" w:eastAsia="en-US"/>
        </w:rPr>
        <w:t xml:space="preserve">around the </w:t>
      </w:r>
      <w:r w:rsidR="004E35F6">
        <w:rPr>
          <w:rFonts w:ascii="Arial Narrow" w:eastAsia="Calibri" w:hAnsi="Arial Narrow"/>
          <w:sz w:val="22"/>
          <w:szCs w:val="22"/>
          <w:lang w:val="en-US" w:eastAsia="en-US"/>
        </w:rPr>
        <w:t xml:space="preserve">application </w:t>
      </w:r>
      <w:r w:rsidRPr="006E59DD">
        <w:rPr>
          <w:rFonts w:ascii="Arial Narrow" w:eastAsia="Calibri" w:hAnsi="Arial Narrow"/>
          <w:sz w:val="22"/>
          <w:szCs w:val="22"/>
          <w:lang w:val="en-US" w:eastAsia="en-US"/>
        </w:rPr>
        <w:t>of SFDR, as of March 2021.</w:t>
      </w:r>
    </w:p>
    <w:p w14:paraId="3347C086" w14:textId="77777777" w:rsidR="006E59DD" w:rsidRPr="006E59DD" w:rsidRDefault="006E59DD" w:rsidP="006E59DD">
      <w:pPr>
        <w:spacing w:after="160" w:line="259" w:lineRule="auto"/>
        <w:ind w:left="284"/>
        <w:jc w:val="both"/>
        <w:rPr>
          <w:rFonts w:ascii="Arial Narrow" w:eastAsia="Calibri" w:hAnsi="Arial Narrow"/>
          <w:sz w:val="22"/>
          <w:szCs w:val="22"/>
          <w:lang w:val="en-US" w:eastAsia="en-US"/>
        </w:rPr>
      </w:pPr>
      <w:r w:rsidRPr="006E59DD">
        <w:rPr>
          <w:rFonts w:ascii="Arial Narrow" w:eastAsia="Calibri" w:hAnsi="Arial Narrow"/>
          <w:sz w:val="22"/>
          <w:szCs w:val="22"/>
          <w:lang w:val="en-US" w:eastAsia="en-US"/>
        </w:rPr>
        <w:t>Although the initial objective of SFDR was not to classify investment products according to their ESG commitment, the delay in the approval of a harmonized ecolabel (or similar regime) has led Articles 8 and 9 of the SFDR to act as a substitute for the latter.</w:t>
      </w:r>
    </w:p>
    <w:p w14:paraId="62B1B5B6" w14:textId="6FD5E8EE" w:rsidR="006E59DD" w:rsidRPr="006E59DD" w:rsidRDefault="006E59DD" w:rsidP="006E59DD">
      <w:pPr>
        <w:spacing w:after="160" w:line="259" w:lineRule="auto"/>
        <w:ind w:left="284"/>
        <w:jc w:val="both"/>
        <w:rPr>
          <w:rFonts w:ascii="Arial Narrow" w:eastAsia="Calibri" w:hAnsi="Arial Narrow"/>
          <w:sz w:val="22"/>
          <w:szCs w:val="22"/>
          <w:lang w:val="en-US" w:eastAsia="en-US"/>
        </w:rPr>
      </w:pPr>
      <w:r w:rsidRPr="006E59DD">
        <w:rPr>
          <w:rFonts w:ascii="Arial Narrow" w:eastAsia="Calibri" w:hAnsi="Arial Narrow"/>
          <w:sz w:val="22"/>
          <w:szCs w:val="22"/>
          <w:lang w:val="en-US" w:eastAsia="en-US"/>
        </w:rPr>
        <w:t xml:space="preserve">That is, in the absence of better regulation, both financial industry and investors have been using SFDR as an ESG product classification system (non-green, light green, dark green products). For that reason, it is </w:t>
      </w:r>
      <w:r w:rsidR="000A3C4A">
        <w:rPr>
          <w:rFonts w:ascii="Arial Narrow" w:eastAsia="Calibri" w:hAnsi="Arial Narrow"/>
          <w:sz w:val="22"/>
          <w:szCs w:val="22"/>
          <w:lang w:val="en-US" w:eastAsia="en-US"/>
        </w:rPr>
        <w:t>inappropriate t</w:t>
      </w:r>
      <w:r w:rsidRPr="006E59DD">
        <w:rPr>
          <w:rFonts w:ascii="Arial Narrow" w:eastAsia="Calibri" w:hAnsi="Arial Narrow"/>
          <w:sz w:val="22"/>
          <w:szCs w:val="22"/>
          <w:lang w:val="en-US" w:eastAsia="en-US"/>
        </w:rPr>
        <w:t xml:space="preserve">hat </w:t>
      </w:r>
      <w:r w:rsidR="000A3C4A">
        <w:rPr>
          <w:rFonts w:ascii="Arial Narrow" w:eastAsia="Calibri" w:hAnsi="Arial Narrow"/>
          <w:sz w:val="22"/>
          <w:szCs w:val="22"/>
          <w:lang w:val="en-US" w:eastAsia="en-US"/>
        </w:rPr>
        <w:t xml:space="preserve">at this stage </w:t>
      </w:r>
      <w:r w:rsidRPr="006E59DD">
        <w:rPr>
          <w:rFonts w:ascii="Arial Narrow" w:eastAsia="Calibri" w:hAnsi="Arial Narrow"/>
          <w:sz w:val="22"/>
          <w:szCs w:val="22"/>
          <w:lang w:val="en-US" w:eastAsia="en-US"/>
        </w:rPr>
        <w:t>ESMA Guidelines provisionally change the rules of the game</w:t>
      </w:r>
      <w:r w:rsidR="000A3C4A">
        <w:rPr>
          <w:rFonts w:ascii="Arial Narrow" w:eastAsia="Calibri" w:hAnsi="Arial Narrow"/>
          <w:sz w:val="22"/>
          <w:szCs w:val="22"/>
          <w:lang w:val="en-US" w:eastAsia="en-US"/>
        </w:rPr>
        <w:t xml:space="preserve">. </w:t>
      </w:r>
    </w:p>
    <w:p w14:paraId="5694E992" w14:textId="14998BDF" w:rsidR="006E59DD" w:rsidRPr="006E59DD" w:rsidRDefault="006E59DD" w:rsidP="006E59DD">
      <w:pPr>
        <w:spacing w:after="160" w:line="259" w:lineRule="auto"/>
        <w:ind w:left="284"/>
        <w:jc w:val="both"/>
        <w:rPr>
          <w:rFonts w:ascii="Arial Narrow" w:eastAsia="Calibri" w:hAnsi="Arial Narrow"/>
          <w:sz w:val="22"/>
          <w:szCs w:val="22"/>
          <w:lang w:val="en-US" w:eastAsia="en-US"/>
        </w:rPr>
      </w:pPr>
      <w:r w:rsidRPr="006E59DD">
        <w:rPr>
          <w:rFonts w:ascii="Arial Narrow" w:eastAsia="Calibri" w:hAnsi="Arial Narrow"/>
          <w:sz w:val="22"/>
          <w:szCs w:val="22"/>
          <w:lang w:val="en-US" w:eastAsia="en-US"/>
        </w:rPr>
        <w:t xml:space="preserve">The green transition needs investment. However, fragmented, incoherent and changing regulation works against investor certainty. In that sense, </w:t>
      </w:r>
      <w:r w:rsidRPr="006E59DD">
        <w:rPr>
          <w:rFonts w:ascii="Arial Narrow" w:eastAsia="Calibri" w:hAnsi="Arial Narrow"/>
          <w:b/>
          <w:bCs/>
          <w:sz w:val="22"/>
          <w:szCs w:val="22"/>
          <w:lang w:val="en-US" w:eastAsia="en-US"/>
        </w:rPr>
        <w:t>ESMA</w:t>
      </w:r>
      <w:r w:rsidRPr="006E59DD">
        <w:rPr>
          <w:rFonts w:ascii="Arial Narrow" w:eastAsia="Calibri" w:hAnsi="Arial Narrow"/>
          <w:sz w:val="22"/>
          <w:szCs w:val="22"/>
          <w:lang w:val="en-US" w:eastAsia="en-US"/>
        </w:rPr>
        <w:t xml:space="preserve"> </w:t>
      </w:r>
      <w:r w:rsidRPr="006E59DD">
        <w:rPr>
          <w:rFonts w:ascii="Arial Narrow" w:eastAsia="Calibri" w:hAnsi="Arial Narrow"/>
          <w:b/>
          <w:bCs/>
          <w:sz w:val="22"/>
          <w:szCs w:val="22"/>
          <w:lang w:val="en-US" w:eastAsia="en-US"/>
        </w:rPr>
        <w:t>has a fundamental role to play in providing guidance that promotes uniform compliance with regulations, but</w:t>
      </w:r>
      <w:r w:rsidRPr="006E59DD">
        <w:rPr>
          <w:rFonts w:ascii="Arial Narrow" w:eastAsia="Calibri" w:hAnsi="Arial Narrow"/>
          <w:sz w:val="22"/>
          <w:szCs w:val="22"/>
          <w:lang w:val="en-US" w:eastAsia="en-US"/>
        </w:rPr>
        <w:t xml:space="preserve"> </w:t>
      </w:r>
      <w:r w:rsidRPr="006E59DD">
        <w:rPr>
          <w:rFonts w:ascii="Arial Narrow" w:eastAsia="Calibri" w:hAnsi="Arial Narrow"/>
          <w:b/>
          <w:bCs/>
          <w:sz w:val="22"/>
          <w:szCs w:val="22"/>
          <w:lang w:val="en-US" w:eastAsia="en-US"/>
        </w:rPr>
        <w:t xml:space="preserve">it should avoid introducing new, </w:t>
      </w:r>
      <w:r w:rsidR="00925149" w:rsidRPr="006E59DD">
        <w:rPr>
          <w:rFonts w:ascii="Arial Narrow" w:eastAsia="Calibri" w:hAnsi="Arial Narrow"/>
          <w:b/>
          <w:bCs/>
          <w:sz w:val="22"/>
          <w:szCs w:val="22"/>
          <w:lang w:val="en-US" w:eastAsia="en-US"/>
        </w:rPr>
        <w:t>overlapping,</w:t>
      </w:r>
      <w:r w:rsidRPr="006E59DD">
        <w:rPr>
          <w:rFonts w:ascii="Arial Narrow" w:eastAsia="Calibri" w:hAnsi="Arial Narrow"/>
          <w:b/>
          <w:bCs/>
          <w:sz w:val="22"/>
          <w:szCs w:val="22"/>
          <w:lang w:val="en-US" w:eastAsia="en-US"/>
        </w:rPr>
        <w:t xml:space="preserve"> and inconsistent criteria</w:t>
      </w:r>
      <w:r w:rsidR="000A3C4A" w:rsidRPr="004E7437">
        <w:rPr>
          <w:rFonts w:ascii="Arial Narrow" w:eastAsia="Calibri" w:hAnsi="Arial Narrow"/>
          <w:b/>
          <w:bCs/>
          <w:sz w:val="22"/>
          <w:szCs w:val="22"/>
          <w:lang w:val="en-US" w:eastAsia="en-US"/>
        </w:rPr>
        <w:t xml:space="preserve"> due to delays of the </w:t>
      </w:r>
      <w:r w:rsidR="000A3C4A" w:rsidRPr="006E59DD">
        <w:rPr>
          <w:rFonts w:ascii="Arial Narrow" w:eastAsia="Calibri" w:hAnsi="Arial Narrow"/>
          <w:b/>
          <w:bCs/>
          <w:sz w:val="22"/>
          <w:szCs w:val="22"/>
          <w:lang w:val="en-US" w:eastAsia="en-US"/>
        </w:rPr>
        <w:t>European legislator</w:t>
      </w:r>
      <w:r w:rsidR="000A3C4A" w:rsidRPr="004E7437">
        <w:rPr>
          <w:rFonts w:ascii="Arial Narrow" w:eastAsia="Calibri" w:hAnsi="Arial Narrow"/>
          <w:b/>
          <w:bCs/>
          <w:sz w:val="22"/>
          <w:szCs w:val="22"/>
          <w:lang w:val="en-US" w:eastAsia="en-US"/>
        </w:rPr>
        <w:t xml:space="preserve"> </w:t>
      </w:r>
      <w:r w:rsidR="000A3C4A" w:rsidRPr="006E59DD">
        <w:rPr>
          <w:rFonts w:ascii="Arial Narrow" w:eastAsia="Calibri" w:hAnsi="Arial Narrow"/>
          <w:b/>
          <w:bCs/>
          <w:sz w:val="22"/>
          <w:szCs w:val="22"/>
          <w:lang w:val="en-US" w:eastAsia="en-US"/>
        </w:rPr>
        <w:t xml:space="preserve">in </w:t>
      </w:r>
      <w:r w:rsidR="00925149" w:rsidRPr="004E7437">
        <w:rPr>
          <w:rFonts w:ascii="Arial Narrow" w:eastAsia="Calibri" w:hAnsi="Arial Narrow"/>
          <w:b/>
          <w:bCs/>
          <w:sz w:val="22"/>
          <w:szCs w:val="22"/>
          <w:lang w:val="en-US" w:eastAsia="en-US"/>
        </w:rPr>
        <w:t>e.g.,</w:t>
      </w:r>
      <w:r w:rsidR="000A3C4A" w:rsidRPr="004E7437">
        <w:rPr>
          <w:rFonts w:ascii="Arial Narrow" w:eastAsia="Calibri" w:hAnsi="Arial Narrow"/>
          <w:b/>
          <w:bCs/>
          <w:sz w:val="22"/>
          <w:szCs w:val="22"/>
          <w:lang w:val="en-US" w:eastAsia="en-US"/>
        </w:rPr>
        <w:t xml:space="preserve"> </w:t>
      </w:r>
      <w:r w:rsidR="000A3C4A" w:rsidRPr="006E59DD">
        <w:rPr>
          <w:rFonts w:ascii="Arial Narrow" w:eastAsia="Calibri" w:hAnsi="Arial Narrow"/>
          <w:b/>
          <w:bCs/>
          <w:sz w:val="22"/>
          <w:szCs w:val="22"/>
          <w:lang w:val="en-US" w:eastAsia="en-US"/>
        </w:rPr>
        <w:t>specifying which products should be subject to Articles 8 and 9 of SFDR</w:t>
      </w:r>
      <w:r w:rsidRPr="006E59DD">
        <w:rPr>
          <w:rFonts w:ascii="Arial Narrow" w:eastAsia="Calibri" w:hAnsi="Arial Narrow"/>
          <w:sz w:val="22"/>
          <w:szCs w:val="22"/>
          <w:lang w:val="en-US" w:eastAsia="en-US"/>
        </w:rPr>
        <w:t xml:space="preserve">. </w:t>
      </w:r>
    </w:p>
    <w:p w14:paraId="29D179CE" w14:textId="5305EF85" w:rsidR="006E59DD" w:rsidRPr="006E59DD" w:rsidRDefault="006E59DD" w:rsidP="006E59DD">
      <w:pPr>
        <w:spacing w:after="160" w:line="259" w:lineRule="auto"/>
        <w:ind w:left="284"/>
        <w:jc w:val="both"/>
        <w:rPr>
          <w:rFonts w:ascii="Arial Narrow" w:eastAsia="Calibri" w:hAnsi="Arial Narrow"/>
          <w:sz w:val="22"/>
          <w:szCs w:val="22"/>
          <w:lang w:val="en-US" w:eastAsia="en-US"/>
        </w:rPr>
      </w:pPr>
      <w:r w:rsidRPr="006E59DD">
        <w:rPr>
          <w:rFonts w:ascii="Arial Narrow" w:eastAsia="Calibri" w:hAnsi="Arial Narrow"/>
          <w:sz w:val="22"/>
          <w:szCs w:val="22"/>
          <w:lang w:val="en-US" w:eastAsia="en-US"/>
        </w:rPr>
        <w:t xml:space="preserve">Finally, in relation to the </w:t>
      </w:r>
      <w:r w:rsidR="004E7437">
        <w:rPr>
          <w:rFonts w:ascii="Arial Narrow" w:eastAsia="Calibri" w:hAnsi="Arial Narrow"/>
          <w:sz w:val="22"/>
          <w:szCs w:val="22"/>
          <w:lang w:val="en-US" w:eastAsia="en-US"/>
        </w:rPr>
        <w:t>“</w:t>
      </w:r>
      <w:r w:rsidRPr="006E59DD">
        <w:rPr>
          <w:rFonts w:ascii="Arial Narrow" w:eastAsia="Calibri" w:hAnsi="Arial Narrow"/>
          <w:sz w:val="22"/>
          <w:szCs w:val="22"/>
          <w:lang w:val="en-US" w:eastAsia="en-US"/>
        </w:rPr>
        <w:t>risk of greenwashing</w:t>
      </w:r>
      <w:r w:rsidR="004E7437">
        <w:rPr>
          <w:rFonts w:ascii="Arial Narrow" w:eastAsia="Calibri" w:hAnsi="Arial Narrow"/>
          <w:sz w:val="22"/>
          <w:szCs w:val="22"/>
          <w:lang w:val="en-US" w:eastAsia="en-US"/>
        </w:rPr>
        <w:t>”</w:t>
      </w:r>
      <w:r w:rsidRPr="006E59DD">
        <w:rPr>
          <w:rFonts w:ascii="Arial Narrow" w:eastAsia="Calibri" w:hAnsi="Arial Narrow"/>
          <w:sz w:val="22"/>
          <w:szCs w:val="22"/>
          <w:lang w:val="en-US" w:eastAsia="en-US"/>
        </w:rPr>
        <w:t xml:space="preserve"> referred to by ESMA in the Consultation, it should be recalled that the European Supervisory Authorities (hereinafter, the “ESAs”) have just published a call for evidence to define this concept, to comply with </w:t>
      </w:r>
      <w:r w:rsidR="004E7437">
        <w:rPr>
          <w:rFonts w:ascii="Arial Narrow" w:eastAsia="Calibri" w:hAnsi="Arial Narrow"/>
          <w:sz w:val="22"/>
          <w:szCs w:val="22"/>
          <w:lang w:val="en-US" w:eastAsia="en-US"/>
        </w:rPr>
        <w:t>an</w:t>
      </w:r>
      <w:r w:rsidRPr="006E59DD">
        <w:rPr>
          <w:rFonts w:ascii="Arial Narrow" w:eastAsia="Calibri" w:hAnsi="Arial Narrow"/>
          <w:sz w:val="22"/>
          <w:szCs w:val="22"/>
          <w:lang w:val="en-US" w:eastAsia="en-US"/>
        </w:rPr>
        <w:t xml:space="preserve"> EC mandate </w:t>
      </w:r>
      <w:r w:rsidR="004E7437">
        <w:rPr>
          <w:rFonts w:ascii="Arial Narrow" w:eastAsia="Calibri" w:hAnsi="Arial Narrow"/>
          <w:sz w:val="22"/>
          <w:szCs w:val="22"/>
          <w:lang w:val="en-US" w:eastAsia="en-US"/>
        </w:rPr>
        <w:t xml:space="preserve">of </w:t>
      </w:r>
      <w:r w:rsidRPr="006E59DD">
        <w:rPr>
          <w:rFonts w:ascii="Arial Narrow" w:eastAsia="Calibri" w:hAnsi="Arial Narrow"/>
          <w:sz w:val="22"/>
          <w:szCs w:val="22"/>
          <w:lang w:val="en-US" w:eastAsia="en-US"/>
        </w:rPr>
        <w:t>23 of May 2022. Thus, it would be advisable that, as long as it is not legally defined, any ESMA rule or Guideline should avoid making reference to possible greenwashing risks or practices by Fund Managers in order not to undeservedly jeopardize the reputation of this sector.</w:t>
      </w:r>
    </w:p>
    <w:p w14:paraId="643A9FA9" w14:textId="35B8BFDA" w:rsidR="006E59DD" w:rsidRPr="006E59DD" w:rsidRDefault="006E59DD" w:rsidP="00057085">
      <w:pPr>
        <w:numPr>
          <w:ilvl w:val="0"/>
          <w:numId w:val="39"/>
        </w:numPr>
        <w:spacing w:after="160" w:line="259" w:lineRule="auto"/>
        <w:contextualSpacing/>
        <w:jc w:val="both"/>
        <w:rPr>
          <w:rFonts w:ascii="Arial Narrow" w:eastAsia="Calibri" w:hAnsi="Arial Narrow"/>
          <w:sz w:val="22"/>
          <w:szCs w:val="22"/>
          <w:u w:val="single"/>
          <w:lang w:val="en-US" w:eastAsia="en-US"/>
        </w:rPr>
      </w:pPr>
      <w:r w:rsidRPr="006E59DD">
        <w:rPr>
          <w:rFonts w:ascii="Arial Narrow" w:eastAsia="Calibri" w:hAnsi="Arial Narrow"/>
          <w:b/>
          <w:bCs/>
          <w:sz w:val="22"/>
          <w:szCs w:val="22"/>
          <w:lang w:val="en-US" w:eastAsia="en-US"/>
        </w:rPr>
        <w:lastRenderedPageBreak/>
        <w:t xml:space="preserve">The need for rules for the naming of Funds: </w:t>
      </w:r>
    </w:p>
    <w:p w14:paraId="490D5B29" w14:textId="77777777" w:rsidR="006E59DD" w:rsidRDefault="006E59DD" w:rsidP="006E59DD">
      <w:pPr>
        <w:spacing w:after="160" w:line="259" w:lineRule="auto"/>
        <w:ind w:left="284"/>
        <w:jc w:val="both"/>
        <w:rPr>
          <w:rFonts w:ascii="Arial Narrow" w:eastAsia="Calibri" w:hAnsi="Arial Narrow"/>
          <w:sz w:val="22"/>
          <w:szCs w:val="22"/>
          <w:lang w:val="en-US" w:eastAsia="en-US"/>
        </w:rPr>
      </w:pPr>
    </w:p>
    <w:p w14:paraId="380C0FB4" w14:textId="392B3141" w:rsidR="006E59DD" w:rsidRPr="006E59DD" w:rsidRDefault="006E59DD" w:rsidP="006E59DD">
      <w:pPr>
        <w:spacing w:after="160" w:line="259" w:lineRule="auto"/>
        <w:ind w:left="284"/>
        <w:jc w:val="both"/>
        <w:rPr>
          <w:rFonts w:ascii="Arial Narrow" w:eastAsia="Calibri" w:hAnsi="Arial Narrow"/>
          <w:sz w:val="22"/>
          <w:szCs w:val="22"/>
          <w:lang w:val="en-US" w:eastAsia="en-US"/>
        </w:rPr>
      </w:pPr>
      <w:r w:rsidRPr="006E59DD">
        <w:rPr>
          <w:rFonts w:ascii="Arial Narrow" w:eastAsia="Calibri" w:hAnsi="Arial Narrow"/>
          <w:sz w:val="22"/>
          <w:szCs w:val="22"/>
          <w:lang w:val="en-US" w:eastAsia="en-US"/>
        </w:rPr>
        <w:t xml:space="preserve">Funds are subject to authorization and supervision requirements so that the information provided to investors is fair, clear and not misleading. It is, in fact, the most transparent product offered to investors, with information previously scrutinized by National Competent Authorities (NCA). </w:t>
      </w:r>
    </w:p>
    <w:p w14:paraId="41C34927" w14:textId="1571EF02" w:rsidR="006E59DD" w:rsidRPr="006E59DD" w:rsidRDefault="006E59DD" w:rsidP="006E59DD">
      <w:pPr>
        <w:spacing w:after="160" w:line="259" w:lineRule="auto"/>
        <w:ind w:left="284"/>
        <w:jc w:val="both"/>
        <w:rPr>
          <w:rFonts w:ascii="Arial Narrow" w:eastAsia="Calibri" w:hAnsi="Arial Narrow"/>
          <w:sz w:val="22"/>
          <w:szCs w:val="22"/>
          <w:lang w:val="en-US" w:eastAsia="en-US"/>
        </w:rPr>
      </w:pPr>
      <w:r w:rsidRPr="006E59DD">
        <w:rPr>
          <w:rFonts w:ascii="Arial Narrow" w:eastAsia="Calibri" w:hAnsi="Arial Narrow"/>
          <w:sz w:val="22"/>
          <w:szCs w:val="22"/>
          <w:lang w:val="en-US" w:eastAsia="en-US"/>
        </w:rPr>
        <w:t>In particular, the marketing of Funds in the EU requires the prior completion of a registration process that affects, among others, the</w:t>
      </w:r>
      <w:r w:rsidR="004E7437">
        <w:rPr>
          <w:rFonts w:ascii="Arial Narrow" w:eastAsia="Calibri" w:hAnsi="Arial Narrow"/>
          <w:sz w:val="22"/>
          <w:szCs w:val="22"/>
          <w:lang w:val="en-US" w:eastAsia="en-US"/>
        </w:rPr>
        <w:t>ir</w:t>
      </w:r>
      <w:r w:rsidRPr="006E59DD">
        <w:rPr>
          <w:rFonts w:ascii="Arial Narrow" w:eastAsia="Calibri" w:hAnsi="Arial Narrow"/>
          <w:sz w:val="22"/>
          <w:szCs w:val="22"/>
          <w:lang w:val="en-US" w:eastAsia="en-US"/>
        </w:rPr>
        <w:t xml:space="preserve"> denomination. Thus, </w:t>
      </w:r>
      <w:r w:rsidRPr="006E59DD">
        <w:rPr>
          <w:rFonts w:ascii="Arial Narrow" w:eastAsia="Calibri" w:hAnsi="Arial Narrow"/>
          <w:b/>
          <w:bCs/>
          <w:sz w:val="22"/>
          <w:szCs w:val="22"/>
          <w:lang w:val="en-US" w:eastAsia="en-US"/>
        </w:rPr>
        <w:t>the name of a Fund should have all the credibility that is linked to an authorization granted by a</w:t>
      </w:r>
      <w:r w:rsidR="004E7437" w:rsidRPr="004E7437">
        <w:rPr>
          <w:rFonts w:ascii="Arial Narrow" w:eastAsia="Calibri" w:hAnsi="Arial Narrow"/>
          <w:b/>
          <w:bCs/>
          <w:sz w:val="22"/>
          <w:szCs w:val="22"/>
          <w:lang w:val="en-US" w:eastAsia="en-US"/>
        </w:rPr>
        <w:t>n</w:t>
      </w:r>
      <w:r w:rsidRPr="006E59DD">
        <w:rPr>
          <w:rFonts w:ascii="Arial Narrow" w:eastAsia="Calibri" w:hAnsi="Arial Narrow"/>
          <w:b/>
          <w:bCs/>
          <w:sz w:val="22"/>
          <w:szCs w:val="22"/>
          <w:lang w:val="en-US" w:eastAsia="en-US"/>
        </w:rPr>
        <w:t xml:space="preserve"> </w:t>
      </w:r>
      <w:r w:rsidR="004E7437" w:rsidRPr="004E7437">
        <w:rPr>
          <w:rFonts w:ascii="Arial Narrow" w:eastAsia="Calibri" w:hAnsi="Arial Narrow"/>
          <w:b/>
          <w:bCs/>
          <w:sz w:val="22"/>
          <w:szCs w:val="22"/>
          <w:lang w:val="en-US" w:eastAsia="en-US"/>
        </w:rPr>
        <w:t>NCA</w:t>
      </w:r>
      <w:r w:rsidRPr="006E59DD">
        <w:rPr>
          <w:rFonts w:ascii="Arial Narrow" w:eastAsia="Calibri" w:hAnsi="Arial Narrow"/>
          <w:sz w:val="22"/>
          <w:szCs w:val="22"/>
          <w:lang w:val="en-US" w:eastAsia="en-US"/>
        </w:rPr>
        <w:t xml:space="preserve">. </w:t>
      </w:r>
    </w:p>
    <w:p w14:paraId="264D2F33" w14:textId="77777777" w:rsidR="004E7437" w:rsidRPr="004E7437" w:rsidRDefault="006E59DD" w:rsidP="006E59DD">
      <w:pPr>
        <w:spacing w:after="160" w:line="259" w:lineRule="auto"/>
        <w:ind w:left="284"/>
        <w:jc w:val="both"/>
        <w:rPr>
          <w:rFonts w:ascii="Arial Narrow" w:eastAsia="Calibri" w:hAnsi="Arial Narrow"/>
          <w:sz w:val="22"/>
          <w:szCs w:val="22"/>
          <w:lang w:val="en-US" w:eastAsia="en-US"/>
        </w:rPr>
      </w:pPr>
      <w:r w:rsidRPr="006E59DD">
        <w:rPr>
          <w:rFonts w:ascii="Arial Narrow" w:eastAsia="Calibri" w:hAnsi="Arial Narrow"/>
          <w:sz w:val="22"/>
          <w:szCs w:val="22"/>
          <w:lang w:val="en-US" w:eastAsia="en-US"/>
        </w:rPr>
        <w:t xml:space="preserve">In </w:t>
      </w:r>
      <w:r w:rsidR="004E7437" w:rsidRPr="004E7437">
        <w:rPr>
          <w:rFonts w:ascii="Arial Narrow" w:eastAsia="Calibri" w:hAnsi="Arial Narrow"/>
          <w:sz w:val="22"/>
          <w:szCs w:val="22"/>
          <w:lang w:val="en-US" w:eastAsia="en-US"/>
        </w:rPr>
        <w:t>fact</w:t>
      </w:r>
      <w:r w:rsidRPr="006E59DD">
        <w:rPr>
          <w:rFonts w:ascii="Arial Narrow" w:eastAsia="Calibri" w:hAnsi="Arial Narrow"/>
          <w:sz w:val="22"/>
          <w:szCs w:val="22"/>
          <w:lang w:val="en-US" w:eastAsia="en-US"/>
        </w:rPr>
        <w:t xml:space="preserve">, it seems that the focus has been placed on the name of Funds precisely because of the high level of transparency and supervision that the product offers. In this sense, Funds are an ideal testing ground for this kind of requirements: ESMA can conduct immediate analysis of samples, draft new rules and, if those work properly in practice, propose their application to other saving or investment products. </w:t>
      </w:r>
    </w:p>
    <w:p w14:paraId="7BDA320F" w14:textId="1D77FECB" w:rsidR="006E59DD" w:rsidRPr="006E59DD" w:rsidRDefault="006E59DD" w:rsidP="006E59DD">
      <w:pPr>
        <w:spacing w:after="160" w:line="259" w:lineRule="auto"/>
        <w:ind w:left="284"/>
        <w:jc w:val="both"/>
        <w:rPr>
          <w:rFonts w:ascii="Arial Narrow" w:eastAsia="Calibri" w:hAnsi="Arial Narrow"/>
          <w:sz w:val="22"/>
          <w:szCs w:val="22"/>
          <w:lang w:val="en-US" w:eastAsia="en-US"/>
        </w:rPr>
      </w:pPr>
      <w:r w:rsidRPr="006E59DD">
        <w:rPr>
          <w:rFonts w:ascii="Arial Narrow" w:eastAsia="Calibri" w:hAnsi="Arial Narrow"/>
          <w:sz w:val="22"/>
          <w:szCs w:val="22"/>
          <w:lang w:val="en-US" w:eastAsia="en-US"/>
        </w:rPr>
        <w:t>However, th</w:t>
      </w:r>
      <w:r w:rsidR="004E7437" w:rsidRPr="00F14C02">
        <w:rPr>
          <w:rFonts w:ascii="Arial Narrow" w:eastAsia="Calibri" w:hAnsi="Arial Narrow"/>
          <w:sz w:val="22"/>
          <w:szCs w:val="22"/>
          <w:lang w:val="en-US" w:eastAsia="en-US"/>
        </w:rPr>
        <w:t xml:space="preserve">e above </w:t>
      </w:r>
      <w:r w:rsidRPr="006E59DD">
        <w:rPr>
          <w:rFonts w:ascii="Arial Narrow" w:eastAsia="Calibri" w:hAnsi="Arial Narrow"/>
          <w:sz w:val="22"/>
          <w:szCs w:val="22"/>
          <w:lang w:val="en-US" w:eastAsia="en-US"/>
        </w:rPr>
        <w:t xml:space="preserve">way of proceeding </w:t>
      </w:r>
      <w:r w:rsidR="004E7437" w:rsidRPr="00F14C02">
        <w:rPr>
          <w:rFonts w:ascii="Arial Narrow" w:eastAsia="Calibri" w:hAnsi="Arial Narrow"/>
          <w:sz w:val="22"/>
          <w:szCs w:val="22"/>
          <w:lang w:val="en-US" w:eastAsia="en-US"/>
        </w:rPr>
        <w:t>may u</w:t>
      </w:r>
      <w:r w:rsidRPr="006E59DD">
        <w:rPr>
          <w:rFonts w:ascii="Arial Narrow" w:eastAsia="Calibri" w:hAnsi="Arial Narrow"/>
          <w:sz w:val="22"/>
          <w:szCs w:val="22"/>
          <w:lang w:val="en-US" w:eastAsia="en-US"/>
        </w:rPr>
        <w:t xml:space="preserve">nintentionally become a threat to the confidence that </w:t>
      </w:r>
      <w:r w:rsidR="004E7437" w:rsidRPr="00F14C02">
        <w:rPr>
          <w:rFonts w:ascii="Arial Narrow" w:eastAsia="Calibri" w:hAnsi="Arial Narrow"/>
          <w:sz w:val="22"/>
          <w:szCs w:val="22"/>
          <w:lang w:val="en-US" w:eastAsia="en-US"/>
        </w:rPr>
        <w:t xml:space="preserve">investors have </w:t>
      </w:r>
      <w:r w:rsidRPr="006E59DD">
        <w:rPr>
          <w:rFonts w:ascii="Arial Narrow" w:eastAsia="Calibri" w:hAnsi="Arial Narrow"/>
          <w:sz w:val="22"/>
          <w:szCs w:val="22"/>
          <w:lang w:val="en-US" w:eastAsia="en-US"/>
        </w:rPr>
        <w:t>in Funds</w:t>
      </w:r>
      <w:r w:rsidR="00FE1265">
        <w:rPr>
          <w:rFonts w:ascii="Arial Narrow" w:eastAsia="Calibri" w:hAnsi="Arial Narrow"/>
          <w:sz w:val="22"/>
          <w:szCs w:val="22"/>
          <w:lang w:val="en-US" w:eastAsia="en-US"/>
        </w:rPr>
        <w:t xml:space="preserve">. That is, </w:t>
      </w:r>
      <w:r w:rsidR="004E7437" w:rsidRPr="00F14C02">
        <w:rPr>
          <w:rFonts w:ascii="Arial Narrow" w:eastAsia="Calibri" w:hAnsi="Arial Narrow"/>
          <w:b/>
          <w:bCs/>
          <w:sz w:val="22"/>
          <w:szCs w:val="22"/>
          <w:lang w:val="en-US" w:eastAsia="en-US"/>
        </w:rPr>
        <w:t>s</w:t>
      </w:r>
      <w:r w:rsidRPr="006E59DD">
        <w:rPr>
          <w:rFonts w:ascii="Arial Narrow" w:eastAsia="Calibri" w:hAnsi="Arial Narrow"/>
          <w:b/>
          <w:bCs/>
          <w:sz w:val="22"/>
          <w:szCs w:val="22"/>
          <w:lang w:val="en-US" w:eastAsia="en-US"/>
        </w:rPr>
        <w:t xml:space="preserve">uch a change in </w:t>
      </w:r>
      <w:r w:rsidR="00FE1265" w:rsidRPr="00F14C02">
        <w:rPr>
          <w:rFonts w:ascii="Arial Narrow" w:eastAsia="Calibri" w:hAnsi="Arial Narrow"/>
          <w:b/>
          <w:bCs/>
          <w:sz w:val="22"/>
          <w:szCs w:val="22"/>
          <w:lang w:val="en-US" w:eastAsia="en-US"/>
        </w:rPr>
        <w:t xml:space="preserve">Funds’ naming requirements </w:t>
      </w:r>
      <w:r w:rsidRPr="006E59DD">
        <w:rPr>
          <w:rFonts w:ascii="Arial Narrow" w:eastAsia="Calibri" w:hAnsi="Arial Narrow"/>
          <w:b/>
          <w:bCs/>
          <w:sz w:val="22"/>
          <w:szCs w:val="22"/>
          <w:lang w:val="en-US" w:eastAsia="en-US"/>
        </w:rPr>
        <w:t xml:space="preserve">may be understood as a problem of </w:t>
      </w:r>
      <w:r w:rsidR="004E7437" w:rsidRPr="00F14C02">
        <w:rPr>
          <w:rFonts w:ascii="Arial Narrow" w:eastAsia="Calibri" w:hAnsi="Arial Narrow"/>
          <w:b/>
          <w:bCs/>
          <w:sz w:val="22"/>
          <w:szCs w:val="22"/>
          <w:lang w:val="en-US" w:eastAsia="en-US"/>
        </w:rPr>
        <w:t xml:space="preserve">the </w:t>
      </w:r>
      <w:r w:rsidRPr="006E59DD">
        <w:rPr>
          <w:rFonts w:ascii="Arial Narrow" w:eastAsia="Calibri" w:hAnsi="Arial Narrow"/>
          <w:b/>
          <w:bCs/>
          <w:sz w:val="22"/>
          <w:szCs w:val="22"/>
          <w:lang w:val="en-US" w:eastAsia="en-US"/>
        </w:rPr>
        <w:t xml:space="preserve">product and not of </w:t>
      </w:r>
      <w:r w:rsidR="00F14C02">
        <w:rPr>
          <w:rFonts w:ascii="Arial Narrow" w:eastAsia="Calibri" w:hAnsi="Arial Narrow"/>
          <w:b/>
          <w:bCs/>
          <w:sz w:val="22"/>
          <w:szCs w:val="22"/>
          <w:lang w:val="en-US" w:eastAsia="en-US"/>
        </w:rPr>
        <w:t xml:space="preserve">prior </w:t>
      </w:r>
      <w:r w:rsidRPr="006E59DD">
        <w:rPr>
          <w:rFonts w:ascii="Arial Narrow" w:eastAsia="Calibri" w:hAnsi="Arial Narrow"/>
          <w:b/>
          <w:bCs/>
          <w:sz w:val="22"/>
          <w:szCs w:val="22"/>
          <w:lang w:val="en-US" w:eastAsia="en-US"/>
        </w:rPr>
        <w:t>applicable regulations</w:t>
      </w:r>
      <w:r w:rsidRPr="006E59DD">
        <w:rPr>
          <w:rFonts w:ascii="Arial Narrow" w:eastAsia="Calibri" w:hAnsi="Arial Narrow"/>
          <w:sz w:val="22"/>
          <w:szCs w:val="22"/>
          <w:lang w:val="en-US" w:eastAsia="en-US"/>
        </w:rPr>
        <w:t>.</w:t>
      </w:r>
    </w:p>
    <w:p w14:paraId="7CBF61EE" w14:textId="567B9E94" w:rsidR="006E59DD" w:rsidRPr="006E59DD" w:rsidRDefault="006E59DD" w:rsidP="006E59DD">
      <w:pPr>
        <w:spacing w:after="160" w:line="259" w:lineRule="auto"/>
        <w:ind w:left="284"/>
        <w:jc w:val="both"/>
        <w:rPr>
          <w:rFonts w:ascii="Arial Narrow" w:eastAsia="Calibri" w:hAnsi="Arial Narrow"/>
          <w:sz w:val="22"/>
          <w:szCs w:val="22"/>
          <w:lang w:val="en-US" w:eastAsia="en-US"/>
        </w:rPr>
      </w:pPr>
      <w:r w:rsidRPr="006E59DD">
        <w:rPr>
          <w:rFonts w:ascii="Arial Narrow" w:eastAsia="Calibri" w:hAnsi="Arial Narrow"/>
          <w:sz w:val="22"/>
          <w:szCs w:val="22"/>
          <w:lang w:val="en-US" w:eastAsia="en-US"/>
        </w:rPr>
        <w:t>It is therefore important that the final Guidelines are framed in terms that adequately gauge the cost-benefit of new requirements.</w:t>
      </w:r>
    </w:p>
    <w:p w14:paraId="551CEAA9" w14:textId="77777777" w:rsidR="006E59DD" w:rsidRPr="006E59DD" w:rsidRDefault="006E59DD" w:rsidP="00057085">
      <w:pPr>
        <w:numPr>
          <w:ilvl w:val="0"/>
          <w:numId w:val="39"/>
        </w:numPr>
        <w:tabs>
          <w:tab w:val="left" w:pos="-284"/>
        </w:tabs>
        <w:spacing w:after="160" w:line="259" w:lineRule="auto"/>
        <w:ind w:right="-284"/>
        <w:contextualSpacing/>
        <w:jc w:val="both"/>
        <w:rPr>
          <w:rFonts w:ascii="Arial Narrow" w:eastAsia="Calibri" w:hAnsi="Arial Narrow"/>
          <w:b/>
          <w:bCs/>
          <w:sz w:val="22"/>
          <w:szCs w:val="22"/>
          <w:lang w:val="en-US" w:eastAsia="en-US"/>
        </w:rPr>
      </w:pPr>
      <w:r w:rsidRPr="006E59DD">
        <w:rPr>
          <w:rFonts w:ascii="Arial Narrow" w:eastAsia="Calibri" w:hAnsi="Arial Narrow"/>
          <w:b/>
          <w:bCs/>
          <w:sz w:val="22"/>
          <w:szCs w:val="22"/>
          <w:lang w:val="en-US" w:eastAsia="en-US"/>
        </w:rPr>
        <w:t>The appropriateness and urgency of the proposed Guidelines</w:t>
      </w:r>
    </w:p>
    <w:p w14:paraId="1A45ABA6" w14:textId="77777777" w:rsidR="006E59DD" w:rsidRDefault="006E59DD" w:rsidP="006E59DD">
      <w:pPr>
        <w:tabs>
          <w:tab w:val="left" w:pos="-284"/>
        </w:tabs>
        <w:spacing w:after="160" w:line="259" w:lineRule="auto"/>
        <w:ind w:left="284" w:right="-284"/>
        <w:jc w:val="both"/>
        <w:rPr>
          <w:rFonts w:ascii="Arial Narrow" w:eastAsia="Calibri" w:hAnsi="Arial Narrow"/>
          <w:sz w:val="22"/>
          <w:szCs w:val="22"/>
          <w:lang w:val="en-US" w:eastAsia="en-US"/>
        </w:rPr>
      </w:pPr>
    </w:p>
    <w:p w14:paraId="51633155" w14:textId="1C5615BD" w:rsidR="006E59DD" w:rsidRPr="006E59DD" w:rsidRDefault="006E59DD" w:rsidP="006E59DD">
      <w:pPr>
        <w:tabs>
          <w:tab w:val="left" w:pos="-284"/>
        </w:tabs>
        <w:spacing w:after="160" w:line="259" w:lineRule="auto"/>
        <w:ind w:left="284" w:right="-284"/>
        <w:jc w:val="both"/>
        <w:rPr>
          <w:rFonts w:ascii="Arial Narrow" w:eastAsia="Calibri" w:hAnsi="Arial Narrow"/>
          <w:sz w:val="22"/>
          <w:szCs w:val="22"/>
          <w:lang w:val="en-US" w:eastAsia="en-US"/>
        </w:rPr>
      </w:pPr>
      <w:r w:rsidRPr="006E59DD">
        <w:rPr>
          <w:rFonts w:ascii="Arial Narrow" w:eastAsia="Calibri" w:hAnsi="Arial Narrow"/>
          <w:b/>
          <w:bCs/>
          <w:sz w:val="22"/>
          <w:szCs w:val="22"/>
          <w:lang w:val="en-US" w:eastAsia="en-US"/>
        </w:rPr>
        <w:t>The naming of products according to their ESG bias would merit a calm debate at ESAs level to comprehensively address the costs and benefits of establishing this type of rules for all kind of investment and saving products that are marketed to consumers</w:t>
      </w:r>
      <w:r w:rsidR="00FE1265">
        <w:rPr>
          <w:rFonts w:ascii="Arial Narrow" w:eastAsia="Calibri" w:hAnsi="Arial Narrow"/>
          <w:sz w:val="22"/>
          <w:szCs w:val="22"/>
          <w:lang w:val="en-US" w:eastAsia="en-US"/>
        </w:rPr>
        <w:t>. Then,</w:t>
      </w:r>
      <w:r w:rsidRPr="006E59DD">
        <w:rPr>
          <w:rFonts w:ascii="Arial Narrow" w:eastAsia="Calibri" w:hAnsi="Arial Narrow"/>
          <w:sz w:val="22"/>
          <w:szCs w:val="22"/>
          <w:lang w:val="en-US" w:eastAsia="en-US"/>
        </w:rPr>
        <w:t xml:space="preserve"> </w:t>
      </w:r>
      <w:r w:rsidR="00FE1265">
        <w:rPr>
          <w:rFonts w:ascii="Arial Narrow" w:eastAsia="Calibri" w:hAnsi="Arial Narrow"/>
          <w:sz w:val="22"/>
          <w:szCs w:val="22"/>
          <w:lang w:val="en-US" w:eastAsia="en-US"/>
        </w:rPr>
        <w:t xml:space="preserve">the ESAs may </w:t>
      </w:r>
      <w:r w:rsidRPr="006E59DD">
        <w:rPr>
          <w:rFonts w:ascii="Arial Narrow" w:eastAsia="Calibri" w:hAnsi="Arial Narrow"/>
          <w:sz w:val="22"/>
          <w:szCs w:val="22"/>
          <w:lang w:val="en-US" w:eastAsia="en-US"/>
        </w:rPr>
        <w:t>propose the adoption</w:t>
      </w:r>
      <w:r w:rsidR="00FE1265">
        <w:rPr>
          <w:rFonts w:ascii="Arial Narrow" w:eastAsia="Calibri" w:hAnsi="Arial Narrow"/>
          <w:sz w:val="22"/>
          <w:szCs w:val="22"/>
          <w:lang w:val="en-US" w:eastAsia="en-US"/>
        </w:rPr>
        <w:t xml:space="preserve"> of new financial products naming rules </w:t>
      </w:r>
      <w:r w:rsidRPr="006E59DD">
        <w:rPr>
          <w:rFonts w:ascii="Arial Narrow" w:eastAsia="Calibri" w:hAnsi="Arial Narrow"/>
          <w:sz w:val="22"/>
          <w:szCs w:val="22"/>
          <w:lang w:val="en-US" w:eastAsia="en-US"/>
        </w:rPr>
        <w:t>in the context of the ordinary European legislative procedure</w:t>
      </w:r>
      <w:r w:rsidRPr="006E59DD">
        <w:rPr>
          <w:rFonts w:ascii="Arial Narrow" w:eastAsia="Calibri" w:hAnsi="Arial Narrow"/>
          <w:sz w:val="22"/>
          <w:szCs w:val="22"/>
          <w:vertAlign w:val="superscript"/>
          <w:lang w:val="en-US" w:eastAsia="en-US"/>
        </w:rPr>
        <w:footnoteReference w:id="2"/>
      </w:r>
      <w:r w:rsidRPr="006E59DD">
        <w:rPr>
          <w:rFonts w:ascii="Arial Narrow" w:eastAsia="Calibri" w:hAnsi="Arial Narrow"/>
          <w:sz w:val="22"/>
          <w:szCs w:val="22"/>
          <w:lang w:val="en-US" w:eastAsia="en-US"/>
        </w:rPr>
        <w:t xml:space="preserve">. </w:t>
      </w:r>
    </w:p>
    <w:p w14:paraId="65685ED8" w14:textId="29830FB1" w:rsidR="006E59DD" w:rsidRPr="006E59DD" w:rsidRDefault="00FE1265" w:rsidP="006E59DD">
      <w:pPr>
        <w:tabs>
          <w:tab w:val="left" w:pos="-284"/>
        </w:tabs>
        <w:spacing w:after="160" w:line="259" w:lineRule="auto"/>
        <w:ind w:left="284" w:right="-284"/>
        <w:jc w:val="both"/>
        <w:rPr>
          <w:rFonts w:ascii="Arial Narrow" w:eastAsia="Calibri" w:hAnsi="Arial Narrow"/>
          <w:sz w:val="22"/>
          <w:szCs w:val="22"/>
          <w:lang w:val="en-US" w:eastAsia="en-US"/>
        </w:rPr>
      </w:pPr>
      <w:r>
        <w:rPr>
          <w:rFonts w:ascii="Arial Narrow" w:eastAsia="Calibri" w:hAnsi="Arial Narrow"/>
          <w:sz w:val="22"/>
          <w:szCs w:val="22"/>
          <w:lang w:val="en-US" w:eastAsia="en-US"/>
        </w:rPr>
        <w:t xml:space="preserve">The proposed </w:t>
      </w:r>
      <w:r w:rsidR="00F42A47">
        <w:rPr>
          <w:rFonts w:ascii="Arial Narrow" w:eastAsia="Calibri" w:hAnsi="Arial Narrow"/>
          <w:sz w:val="22"/>
          <w:szCs w:val="22"/>
          <w:lang w:val="en-US" w:eastAsia="en-US"/>
        </w:rPr>
        <w:t xml:space="preserve">Guidelines </w:t>
      </w:r>
      <w:r w:rsidR="006E59DD" w:rsidRPr="006E59DD">
        <w:rPr>
          <w:rFonts w:ascii="Arial Narrow" w:eastAsia="Calibri" w:hAnsi="Arial Narrow"/>
          <w:sz w:val="22"/>
          <w:szCs w:val="22"/>
          <w:lang w:val="en-US" w:eastAsia="en-US"/>
        </w:rPr>
        <w:t xml:space="preserve">are not consistent, efficient, and effective supervisory practices ensuring the common, uniform and consistent application of Union law, as provided for in Article 16 of Regulation (EU) No 1095/2010 establishing ESMA (hereinafter the "ESMA Regulation") but goes much further. </w:t>
      </w:r>
      <w:r w:rsidR="006E59DD" w:rsidRPr="006E59DD">
        <w:rPr>
          <w:rFonts w:ascii="Arial Narrow" w:eastAsia="Calibri" w:hAnsi="Arial Narrow"/>
          <w:b/>
          <w:bCs/>
          <w:sz w:val="22"/>
          <w:szCs w:val="22"/>
          <w:lang w:val="en-US" w:eastAsia="en-US"/>
        </w:rPr>
        <w:t>Thresholds and additional minimum safeguards to use sustainability or ESG related terms in Funds’ names, if adopted, would constitute substantive regulation</w:t>
      </w:r>
      <w:r w:rsidR="006E59DD" w:rsidRPr="006E59DD">
        <w:rPr>
          <w:rFonts w:ascii="Arial Narrow" w:eastAsia="Calibri" w:hAnsi="Arial Narrow"/>
          <w:sz w:val="22"/>
          <w:szCs w:val="22"/>
          <w:lang w:val="en-US" w:eastAsia="en-US"/>
        </w:rPr>
        <w:t xml:space="preserve"> </w:t>
      </w:r>
      <w:r w:rsidR="006E59DD" w:rsidRPr="006E59DD">
        <w:rPr>
          <w:rFonts w:ascii="Arial Narrow" w:eastAsia="Calibri" w:hAnsi="Arial Narrow"/>
          <w:b/>
          <w:bCs/>
          <w:sz w:val="22"/>
          <w:szCs w:val="22"/>
          <w:lang w:val="en-US" w:eastAsia="en-US"/>
        </w:rPr>
        <w:t xml:space="preserve">that should be addressed by EU co-legislators when </w:t>
      </w:r>
      <w:r w:rsidR="00F42A47">
        <w:rPr>
          <w:rFonts w:ascii="Arial Narrow" w:eastAsia="Calibri" w:hAnsi="Arial Narrow"/>
          <w:b/>
          <w:bCs/>
          <w:sz w:val="22"/>
          <w:szCs w:val="22"/>
          <w:lang w:val="en-US" w:eastAsia="en-US"/>
        </w:rPr>
        <w:t xml:space="preserve">providing for new </w:t>
      </w:r>
      <w:r w:rsidR="006E59DD" w:rsidRPr="006E59DD">
        <w:rPr>
          <w:rFonts w:ascii="Arial Narrow" w:eastAsia="Calibri" w:hAnsi="Arial Narrow"/>
          <w:b/>
          <w:bCs/>
          <w:sz w:val="22"/>
          <w:szCs w:val="22"/>
          <w:lang w:val="en-US" w:eastAsia="en-US"/>
        </w:rPr>
        <w:t>ec</w:t>
      </w:r>
      <w:r w:rsidR="00F42A47">
        <w:rPr>
          <w:rFonts w:ascii="Arial Narrow" w:eastAsia="Calibri" w:hAnsi="Arial Narrow"/>
          <w:b/>
          <w:bCs/>
          <w:sz w:val="22"/>
          <w:szCs w:val="22"/>
          <w:lang w:val="en-US" w:eastAsia="en-US"/>
        </w:rPr>
        <w:t>o-</w:t>
      </w:r>
      <w:r w:rsidR="006E59DD" w:rsidRPr="006E59DD">
        <w:rPr>
          <w:rFonts w:ascii="Arial Narrow" w:eastAsia="Calibri" w:hAnsi="Arial Narrow"/>
          <w:b/>
          <w:bCs/>
          <w:sz w:val="22"/>
          <w:szCs w:val="22"/>
          <w:lang w:val="en-US" w:eastAsia="en-US"/>
        </w:rPr>
        <w:t xml:space="preserve">labels or </w:t>
      </w:r>
      <w:r w:rsidR="00F42A47">
        <w:rPr>
          <w:rFonts w:ascii="Arial Narrow" w:eastAsia="Calibri" w:hAnsi="Arial Narrow"/>
          <w:b/>
          <w:bCs/>
          <w:sz w:val="22"/>
          <w:szCs w:val="22"/>
          <w:lang w:val="en-US" w:eastAsia="en-US"/>
        </w:rPr>
        <w:t xml:space="preserve">financial products’ </w:t>
      </w:r>
      <w:r w:rsidR="006E59DD" w:rsidRPr="006E59DD">
        <w:rPr>
          <w:rFonts w:ascii="Arial Narrow" w:eastAsia="Calibri" w:hAnsi="Arial Narrow"/>
          <w:b/>
          <w:bCs/>
          <w:sz w:val="22"/>
          <w:szCs w:val="22"/>
          <w:lang w:val="en-US" w:eastAsia="en-US"/>
        </w:rPr>
        <w:t>marketing rules</w:t>
      </w:r>
      <w:r w:rsidR="006E59DD" w:rsidRPr="006E59DD">
        <w:rPr>
          <w:rFonts w:ascii="Arial Narrow" w:eastAsia="Calibri" w:hAnsi="Arial Narrow"/>
          <w:sz w:val="22"/>
          <w:szCs w:val="22"/>
          <w:lang w:val="en-US" w:eastAsia="en-US"/>
        </w:rPr>
        <w:t>.</w:t>
      </w:r>
    </w:p>
    <w:p w14:paraId="6DC7A547" w14:textId="6B22B526" w:rsidR="00F42A47" w:rsidRDefault="006E59DD" w:rsidP="006E59DD">
      <w:pPr>
        <w:tabs>
          <w:tab w:val="left" w:pos="-284"/>
        </w:tabs>
        <w:spacing w:after="160" w:line="259" w:lineRule="auto"/>
        <w:ind w:left="284" w:right="-284"/>
        <w:jc w:val="both"/>
        <w:rPr>
          <w:rFonts w:ascii="Arial Narrow" w:eastAsia="Calibri" w:hAnsi="Arial Narrow"/>
          <w:sz w:val="22"/>
          <w:szCs w:val="22"/>
          <w:lang w:val="en-US" w:eastAsia="en-US"/>
        </w:rPr>
      </w:pPr>
      <w:r w:rsidRPr="006E59DD">
        <w:rPr>
          <w:rFonts w:ascii="Arial Narrow" w:eastAsia="Calibri" w:hAnsi="Arial Narrow"/>
          <w:sz w:val="22"/>
          <w:szCs w:val="22"/>
          <w:lang w:val="en-US" w:eastAsia="en-US"/>
        </w:rPr>
        <w:t>Furthermore, Fund</w:t>
      </w:r>
      <w:r w:rsidR="00F42A47">
        <w:rPr>
          <w:rFonts w:ascii="Arial Narrow" w:eastAsia="Calibri" w:hAnsi="Arial Narrow"/>
          <w:sz w:val="22"/>
          <w:szCs w:val="22"/>
          <w:lang w:val="en-US" w:eastAsia="en-US"/>
        </w:rPr>
        <w:t>s’</w:t>
      </w:r>
      <w:r w:rsidRPr="006E59DD">
        <w:rPr>
          <w:rFonts w:ascii="Arial Narrow" w:eastAsia="Calibri" w:hAnsi="Arial Narrow"/>
          <w:sz w:val="22"/>
          <w:szCs w:val="22"/>
          <w:lang w:val="en-US" w:eastAsia="en-US"/>
        </w:rPr>
        <w:t xml:space="preserve"> names are </w:t>
      </w:r>
      <w:r w:rsidRPr="006E59DD">
        <w:rPr>
          <w:rFonts w:ascii="Arial Narrow" w:eastAsia="Calibri" w:hAnsi="Arial Narrow"/>
          <w:i/>
          <w:iCs/>
          <w:sz w:val="22"/>
          <w:szCs w:val="22"/>
          <w:lang w:val="en-US" w:eastAsia="en-US"/>
        </w:rPr>
        <w:t>passported</w:t>
      </w:r>
      <w:r w:rsidRPr="006E59DD">
        <w:rPr>
          <w:rFonts w:ascii="Arial Narrow" w:eastAsia="Calibri" w:hAnsi="Arial Narrow"/>
          <w:sz w:val="22"/>
          <w:szCs w:val="22"/>
          <w:lang w:val="en-US" w:eastAsia="en-US"/>
        </w:rPr>
        <w:t xml:space="preserve"> from the Member State of origin to the host Member State by virtue of the </w:t>
      </w:r>
      <w:r w:rsidRPr="006E59DD">
        <w:rPr>
          <w:rFonts w:ascii="Arial Narrow" w:eastAsia="Calibri" w:hAnsi="Arial Narrow"/>
          <w:i/>
          <w:iCs/>
          <w:sz w:val="22"/>
          <w:szCs w:val="22"/>
          <w:lang w:val="en-US" w:eastAsia="en-US"/>
        </w:rPr>
        <w:t>mutual recognition principle</w:t>
      </w:r>
      <w:r w:rsidRPr="006E59DD">
        <w:rPr>
          <w:rFonts w:ascii="Arial Narrow" w:eastAsia="Calibri" w:hAnsi="Arial Narrow"/>
          <w:sz w:val="22"/>
          <w:szCs w:val="22"/>
          <w:lang w:val="en-US" w:eastAsia="en-US"/>
        </w:rPr>
        <w:t xml:space="preserve"> provided by EU law. Therefore, </w:t>
      </w:r>
      <w:r w:rsidRPr="006E59DD">
        <w:rPr>
          <w:rFonts w:ascii="Arial Narrow" w:eastAsia="Calibri" w:hAnsi="Arial Narrow"/>
          <w:b/>
          <w:bCs/>
          <w:sz w:val="22"/>
          <w:szCs w:val="22"/>
          <w:lang w:val="en-US" w:eastAsia="en-US"/>
        </w:rPr>
        <w:t>to develop such a substantive regulation, ESMA should be previously empowered to draft regulatory or implementing technical standards on the naming of Funds that shall be subsequently adopted by the EC</w:t>
      </w:r>
      <w:r w:rsidRPr="006E59DD">
        <w:rPr>
          <w:rFonts w:ascii="Arial Narrow" w:eastAsia="Calibri" w:hAnsi="Arial Narrow"/>
          <w:sz w:val="22"/>
          <w:szCs w:val="22"/>
          <w:lang w:val="en-US" w:eastAsia="en-US"/>
        </w:rPr>
        <w:t xml:space="preserve">. </w:t>
      </w:r>
    </w:p>
    <w:p w14:paraId="59669103" w14:textId="193AC060" w:rsidR="006E59DD" w:rsidRPr="006E59DD" w:rsidRDefault="006E59DD" w:rsidP="006E59DD">
      <w:pPr>
        <w:tabs>
          <w:tab w:val="left" w:pos="-284"/>
        </w:tabs>
        <w:spacing w:after="160" w:line="259" w:lineRule="auto"/>
        <w:ind w:left="284" w:right="-284"/>
        <w:jc w:val="both"/>
        <w:rPr>
          <w:rFonts w:ascii="Arial Narrow" w:eastAsia="Calibri" w:hAnsi="Arial Narrow"/>
          <w:sz w:val="22"/>
          <w:szCs w:val="22"/>
          <w:lang w:val="en-US" w:eastAsia="en-US"/>
        </w:rPr>
      </w:pPr>
      <w:r w:rsidRPr="006E59DD">
        <w:rPr>
          <w:rFonts w:ascii="Arial Narrow" w:eastAsia="Calibri" w:hAnsi="Arial Narrow"/>
          <w:sz w:val="22"/>
          <w:szCs w:val="22"/>
          <w:lang w:val="en-US" w:eastAsia="en-US"/>
        </w:rPr>
        <w:t>Indeed, the issue of the naming of funds is currently being discussed in the co</w:t>
      </w:r>
      <w:r w:rsidR="00F42A47">
        <w:rPr>
          <w:rFonts w:ascii="Arial Narrow" w:eastAsia="Calibri" w:hAnsi="Arial Narrow"/>
          <w:sz w:val="22"/>
          <w:szCs w:val="22"/>
          <w:lang w:val="en-US" w:eastAsia="en-US"/>
        </w:rPr>
        <w:t xml:space="preserve">ntext </w:t>
      </w:r>
      <w:r w:rsidRPr="006E59DD">
        <w:rPr>
          <w:rFonts w:ascii="Arial Narrow" w:eastAsia="Calibri" w:hAnsi="Arial Narrow"/>
          <w:sz w:val="22"/>
          <w:szCs w:val="22"/>
          <w:lang w:val="en-US" w:eastAsia="en-US"/>
        </w:rPr>
        <w:t>of the reform of the AIFM</w:t>
      </w:r>
      <w:r w:rsidR="00F42A47">
        <w:rPr>
          <w:rFonts w:ascii="Arial Narrow" w:eastAsia="Calibri" w:hAnsi="Arial Narrow"/>
          <w:sz w:val="22"/>
          <w:szCs w:val="22"/>
          <w:lang w:val="en-US" w:eastAsia="en-US"/>
        </w:rPr>
        <w:t>D</w:t>
      </w:r>
      <w:r w:rsidRPr="006E59DD">
        <w:rPr>
          <w:rFonts w:ascii="Arial Narrow" w:eastAsia="Calibri" w:hAnsi="Arial Narrow"/>
          <w:sz w:val="22"/>
          <w:szCs w:val="22"/>
          <w:lang w:val="en-US" w:eastAsia="en-US"/>
        </w:rPr>
        <w:t xml:space="preserve"> and UCITS Directive. </w:t>
      </w:r>
      <w:r w:rsidR="00F42A47">
        <w:rPr>
          <w:rFonts w:ascii="Arial Narrow" w:eastAsia="Calibri" w:hAnsi="Arial Narrow"/>
          <w:sz w:val="22"/>
          <w:szCs w:val="22"/>
          <w:lang w:val="en-US" w:eastAsia="en-US"/>
        </w:rPr>
        <w:t xml:space="preserve">Such reform </w:t>
      </w:r>
      <w:r w:rsidRPr="006E59DD">
        <w:rPr>
          <w:rFonts w:ascii="Arial Narrow" w:eastAsia="Calibri" w:hAnsi="Arial Narrow"/>
          <w:sz w:val="22"/>
          <w:szCs w:val="22"/>
          <w:lang w:val="en-US" w:eastAsia="en-US"/>
        </w:rPr>
        <w:t xml:space="preserve">could serve as a gateway for sustainable fund naming requirements but </w:t>
      </w:r>
      <w:r w:rsidR="00F42A47">
        <w:rPr>
          <w:rFonts w:ascii="Arial Narrow" w:eastAsia="Calibri" w:hAnsi="Arial Narrow"/>
          <w:sz w:val="22"/>
          <w:szCs w:val="22"/>
          <w:lang w:val="en-US" w:eastAsia="en-US"/>
        </w:rPr>
        <w:t xml:space="preserve">has not </w:t>
      </w:r>
      <w:r w:rsidRPr="006E59DD">
        <w:rPr>
          <w:rFonts w:ascii="Arial Narrow" w:eastAsia="Calibri" w:hAnsi="Arial Narrow"/>
          <w:sz w:val="22"/>
          <w:szCs w:val="22"/>
          <w:lang w:val="en-US" w:eastAsia="en-US"/>
        </w:rPr>
        <w:t xml:space="preserve">yet </w:t>
      </w:r>
      <w:r w:rsidR="00F42A47">
        <w:rPr>
          <w:rFonts w:ascii="Arial Narrow" w:eastAsia="Calibri" w:hAnsi="Arial Narrow"/>
          <w:sz w:val="22"/>
          <w:szCs w:val="22"/>
          <w:lang w:val="en-US" w:eastAsia="en-US"/>
        </w:rPr>
        <w:t xml:space="preserve">been </w:t>
      </w:r>
      <w:r w:rsidRPr="006E59DD">
        <w:rPr>
          <w:rFonts w:ascii="Arial Narrow" w:eastAsia="Calibri" w:hAnsi="Arial Narrow"/>
          <w:sz w:val="22"/>
          <w:szCs w:val="22"/>
          <w:lang w:val="en-US" w:eastAsia="en-US"/>
        </w:rPr>
        <w:t>approved</w:t>
      </w:r>
      <w:r w:rsidR="004406C8">
        <w:rPr>
          <w:rFonts w:ascii="Arial Narrow" w:eastAsia="Calibri" w:hAnsi="Arial Narrow"/>
          <w:sz w:val="22"/>
          <w:szCs w:val="22"/>
          <w:lang w:val="en-US" w:eastAsia="en-US"/>
        </w:rPr>
        <w:t xml:space="preserve"> and, i</w:t>
      </w:r>
      <w:r w:rsidRPr="006E59DD">
        <w:rPr>
          <w:rFonts w:ascii="Arial Narrow" w:eastAsia="Calibri" w:hAnsi="Arial Narrow"/>
          <w:sz w:val="22"/>
          <w:szCs w:val="22"/>
          <w:lang w:val="en-US" w:eastAsia="en-US"/>
        </w:rPr>
        <w:t xml:space="preserve">n the meanwhile, ESMA </w:t>
      </w:r>
      <w:r w:rsidR="00F42A47">
        <w:rPr>
          <w:rFonts w:ascii="Arial Narrow" w:eastAsia="Calibri" w:hAnsi="Arial Narrow"/>
          <w:sz w:val="22"/>
          <w:szCs w:val="22"/>
          <w:lang w:val="en-US" w:eastAsia="en-US"/>
        </w:rPr>
        <w:t xml:space="preserve">should </w:t>
      </w:r>
      <w:r w:rsidRPr="006E59DD">
        <w:rPr>
          <w:rFonts w:ascii="Arial Narrow" w:eastAsia="Calibri" w:hAnsi="Arial Narrow"/>
          <w:sz w:val="22"/>
          <w:szCs w:val="22"/>
          <w:lang w:val="en-US" w:eastAsia="en-US"/>
        </w:rPr>
        <w:t xml:space="preserve">not provide for guidelines ignoring </w:t>
      </w:r>
      <w:r w:rsidR="00F42A47">
        <w:rPr>
          <w:rFonts w:ascii="Arial Narrow" w:eastAsia="Calibri" w:hAnsi="Arial Narrow"/>
          <w:sz w:val="22"/>
          <w:szCs w:val="22"/>
          <w:lang w:val="en-US" w:eastAsia="en-US"/>
        </w:rPr>
        <w:t>all the above</w:t>
      </w:r>
      <w:r w:rsidRPr="006E59DD">
        <w:rPr>
          <w:rFonts w:ascii="Arial Narrow" w:eastAsia="Calibri" w:hAnsi="Arial Narrow"/>
          <w:sz w:val="22"/>
          <w:szCs w:val="22"/>
          <w:lang w:val="en-US" w:eastAsia="en-US"/>
        </w:rPr>
        <w:t>.</w:t>
      </w:r>
    </w:p>
    <w:p w14:paraId="4ED610EE" w14:textId="622EB8A4" w:rsidR="006E59DD" w:rsidRPr="006E59DD" w:rsidRDefault="004406C8" w:rsidP="006E59DD">
      <w:pPr>
        <w:tabs>
          <w:tab w:val="left" w:pos="-284"/>
        </w:tabs>
        <w:spacing w:after="160" w:line="259" w:lineRule="auto"/>
        <w:ind w:left="284" w:right="-284"/>
        <w:jc w:val="both"/>
        <w:rPr>
          <w:rFonts w:ascii="Arial Narrow" w:eastAsia="Calibri" w:hAnsi="Arial Narrow"/>
          <w:sz w:val="22"/>
          <w:szCs w:val="22"/>
          <w:lang w:val="en-US" w:eastAsia="en-US"/>
        </w:rPr>
      </w:pPr>
      <w:r w:rsidRPr="004406C8">
        <w:rPr>
          <w:rFonts w:ascii="Arial Narrow" w:eastAsia="Calibri" w:hAnsi="Arial Narrow"/>
          <w:sz w:val="22"/>
          <w:szCs w:val="22"/>
          <w:lang w:val="en-US" w:eastAsia="en-US"/>
        </w:rPr>
        <w:t xml:space="preserve">Thus, </w:t>
      </w:r>
      <w:r w:rsidR="006E59DD" w:rsidRPr="006E59DD">
        <w:rPr>
          <w:rFonts w:ascii="Arial Narrow" w:eastAsia="Calibri" w:hAnsi="Arial Narrow"/>
          <w:sz w:val="22"/>
          <w:szCs w:val="22"/>
          <w:lang w:val="en-US" w:eastAsia="en-US"/>
        </w:rPr>
        <w:t xml:space="preserve">the approach adopted by ESMA in its Supervisory Instructions for NCAs of May 2022, which effectively focuses on achieving convergence in the application of the regulations, is much more appropriate. </w:t>
      </w:r>
    </w:p>
    <w:p w14:paraId="0554696F" w14:textId="77777777" w:rsidR="006E59DD" w:rsidRPr="006E59DD" w:rsidRDefault="006E59DD" w:rsidP="006E59DD">
      <w:pPr>
        <w:tabs>
          <w:tab w:val="left" w:pos="-284"/>
        </w:tabs>
        <w:spacing w:after="160" w:line="259" w:lineRule="auto"/>
        <w:ind w:left="284" w:right="-284"/>
        <w:jc w:val="both"/>
        <w:rPr>
          <w:rFonts w:ascii="Arial Narrow" w:eastAsia="Calibri" w:hAnsi="Arial Narrow"/>
          <w:sz w:val="22"/>
          <w:szCs w:val="22"/>
          <w:lang w:val="en-US" w:eastAsia="en-US"/>
        </w:rPr>
      </w:pPr>
    </w:p>
    <w:p w14:paraId="125D7B2D" w14:textId="77777777" w:rsidR="006E59DD" w:rsidRPr="006E59DD" w:rsidRDefault="006E59DD" w:rsidP="00057085">
      <w:pPr>
        <w:numPr>
          <w:ilvl w:val="0"/>
          <w:numId w:val="39"/>
        </w:numPr>
        <w:tabs>
          <w:tab w:val="left" w:pos="-284"/>
        </w:tabs>
        <w:spacing w:after="160" w:line="259" w:lineRule="auto"/>
        <w:ind w:right="-284"/>
        <w:contextualSpacing/>
        <w:jc w:val="both"/>
        <w:rPr>
          <w:rFonts w:ascii="Arial Narrow" w:eastAsia="Calibri" w:hAnsi="Arial Narrow"/>
          <w:b/>
          <w:bCs/>
          <w:sz w:val="22"/>
          <w:szCs w:val="22"/>
          <w:lang w:val="en-US" w:eastAsia="en-US"/>
        </w:rPr>
      </w:pPr>
      <w:r w:rsidRPr="006E59DD">
        <w:rPr>
          <w:rFonts w:ascii="Arial Narrow" w:eastAsia="Calibri" w:hAnsi="Arial Narrow"/>
          <w:b/>
          <w:bCs/>
          <w:sz w:val="22"/>
          <w:szCs w:val="22"/>
          <w:lang w:val="en-US" w:eastAsia="en-US"/>
        </w:rPr>
        <w:t>The need for adoption by all European supervisors</w:t>
      </w:r>
    </w:p>
    <w:p w14:paraId="6C717487" w14:textId="77777777" w:rsidR="006E59DD" w:rsidRDefault="006E59DD" w:rsidP="006E59DD">
      <w:pPr>
        <w:tabs>
          <w:tab w:val="left" w:pos="-284"/>
        </w:tabs>
        <w:spacing w:after="160" w:line="259" w:lineRule="auto"/>
        <w:ind w:left="284" w:right="-284"/>
        <w:jc w:val="both"/>
        <w:rPr>
          <w:rFonts w:ascii="Arial Narrow" w:eastAsia="Calibri" w:hAnsi="Arial Narrow"/>
          <w:sz w:val="22"/>
          <w:szCs w:val="22"/>
          <w:lang w:val="en-US" w:eastAsia="en-US"/>
        </w:rPr>
      </w:pPr>
    </w:p>
    <w:p w14:paraId="0C36624A" w14:textId="40BE1E6E" w:rsidR="006E59DD" w:rsidRPr="006E59DD" w:rsidRDefault="006E59DD" w:rsidP="006E59DD">
      <w:pPr>
        <w:tabs>
          <w:tab w:val="left" w:pos="-284"/>
        </w:tabs>
        <w:spacing w:after="160" w:line="259" w:lineRule="auto"/>
        <w:ind w:left="284" w:right="-284"/>
        <w:jc w:val="both"/>
        <w:rPr>
          <w:rFonts w:ascii="Arial Narrow" w:eastAsia="Calibri" w:hAnsi="Arial Narrow"/>
          <w:sz w:val="22"/>
          <w:szCs w:val="22"/>
          <w:lang w:val="en-US" w:eastAsia="en-US"/>
        </w:rPr>
      </w:pPr>
      <w:r w:rsidRPr="006E59DD">
        <w:rPr>
          <w:rFonts w:ascii="Arial Narrow" w:eastAsia="Calibri" w:hAnsi="Arial Narrow"/>
          <w:sz w:val="22"/>
          <w:szCs w:val="22"/>
          <w:lang w:val="en-US" w:eastAsia="en-US"/>
        </w:rPr>
        <w:t xml:space="preserve">If the ESMA Guidelines are to have any success in terms of standardization, they need to be adopted by all NCAs in the Member States. </w:t>
      </w:r>
      <w:r w:rsidR="004E5D98">
        <w:rPr>
          <w:rFonts w:ascii="Arial Narrow" w:eastAsia="Calibri" w:hAnsi="Arial Narrow"/>
          <w:sz w:val="22"/>
          <w:szCs w:val="22"/>
          <w:lang w:val="en-US" w:eastAsia="en-US"/>
        </w:rPr>
        <w:t>However, this is</w:t>
      </w:r>
      <w:r w:rsidR="004406C8">
        <w:rPr>
          <w:rFonts w:ascii="Arial Narrow" w:eastAsia="Calibri" w:hAnsi="Arial Narrow"/>
          <w:sz w:val="22"/>
          <w:szCs w:val="22"/>
          <w:lang w:val="en-US" w:eastAsia="en-US"/>
        </w:rPr>
        <w:t xml:space="preserve"> unlikely since the proposed Guidelines have </w:t>
      </w:r>
      <w:r w:rsidR="004406C8" w:rsidRPr="004406C8">
        <w:rPr>
          <w:rFonts w:ascii="Arial Narrow" w:eastAsia="Calibri" w:hAnsi="Arial Narrow"/>
          <w:sz w:val="22"/>
          <w:szCs w:val="22"/>
          <w:lang w:val="en-US" w:eastAsia="en-US"/>
        </w:rPr>
        <w:t>a strong impact on the catalogue of Funds already registered</w:t>
      </w:r>
      <w:r w:rsidR="004406C8">
        <w:rPr>
          <w:rFonts w:ascii="Arial Narrow" w:eastAsia="Calibri" w:hAnsi="Arial Narrow"/>
          <w:sz w:val="22"/>
          <w:szCs w:val="22"/>
          <w:lang w:val="en-US" w:eastAsia="en-US"/>
        </w:rPr>
        <w:t xml:space="preserve"> and are d</w:t>
      </w:r>
      <w:r w:rsidR="004406C8" w:rsidRPr="004406C8">
        <w:rPr>
          <w:rFonts w:ascii="Arial Narrow" w:eastAsia="Calibri" w:hAnsi="Arial Narrow"/>
          <w:sz w:val="22"/>
          <w:szCs w:val="22"/>
          <w:lang w:val="en-US" w:eastAsia="en-US"/>
        </w:rPr>
        <w:t>isruptive for the Funds market.</w:t>
      </w:r>
    </w:p>
    <w:p w14:paraId="54523FE8" w14:textId="6D03B5FA" w:rsidR="006E59DD" w:rsidRPr="006E59DD" w:rsidRDefault="004E5D98" w:rsidP="006E59DD">
      <w:pPr>
        <w:tabs>
          <w:tab w:val="left" w:pos="-284"/>
        </w:tabs>
        <w:spacing w:after="160" w:line="259" w:lineRule="auto"/>
        <w:ind w:left="284" w:right="-284"/>
        <w:jc w:val="both"/>
        <w:rPr>
          <w:rFonts w:ascii="Arial Narrow" w:eastAsia="Calibri" w:hAnsi="Arial Narrow"/>
          <w:sz w:val="22"/>
          <w:szCs w:val="22"/>
          <w:lang w:val="en-US" w:eastAsia="en-US"/>
        </w:rPr>
      </w:pPr>
      <w:r>
        <w:rPr>
          <w:rFonts w:ascii="Arial Narrow" w:eastAsia="Calibri" w:hAnsi="Arial Narrow"/>
          <w:sz w:val="22"/>
          <w:szCs w:val="22"/>
          <w:lang w:val="en-US" w:eastAsia="en-US"/>
        </w:rPr>
        <w:t>F</w:t>
      </w:r>
      <w:r w:rsidR="006E59DD" w:rsidRPr="006E59DD">
        <w:rPr>
          <w:rFonts w:ascii="Arial Narrow" w:eastAsia="Calibri" w:hAnsi="Arial Narrow"/>
          <w:sz w:val="22"/>
          <w:szCs w:val="22"/>
          <w:lang w:val="en-US" w:eastAsia="en-US"/>
        </w:rPr>
        <w:t xml:space="preserve">unds whose NCAs do not adhere to the Guidelines would be in a </w:t>
      </w:r>
      <w:r>
        <w:rPr>
          <w:rFonts w:ascii="Arial Narrow" w:eastAsia="Calibri" w:hAnsi="Arial Narrow"/>
          <w:sz w:val="22"/>
          <w:szCs w:val="22"/>
          <w:lang w:val="en-US" w:eastAsia="en-US"/>
        </w:rPr>
        <w:t xml:space="preserve">better </w:t>
      </w:r>
      <w:r w:rsidR="006E59DD" w:rsidRPr="006E59DD">
        <w:rPr>
          <w:rFonts w:ascii="Arial Narrow" w:eastAsia="Calibri" w:hAnsi="Arial Narrow"/>
          <w:sz w:val="22"/>
          <w:szCs w:val="22"/>
          <w:lang w:val="en-US" w:eastAsia="en-US"/>
        </w:rPr>
        <w:t xml:space="preserve">position, </w:t>
      </w:r>
      <w:r>
        <w:rPr>
          <w:rFonts w:ascii="Arial Narrow" w:eastAsia="Calibri" w:hAnsi="Arial Narrow"/>
          <w:sz w:val="22"/>
          <w:szCs w:val="22"/>
          <w:lang w:val="en-US" w:eastAsia="en-US"/>
        </w:rPr>
        <w:t xml:space="preserve">giving rise to </w:t>
      </w:r>
      <w:r w:rsidR="006E59DD" w:rsidRPr="006E59DD">
        <w:rPr>
          <w:rFonts w:ascii="Arial Narrow" w:eastAsia="Calibri" w:hAnsi="Arial Narrow"/>
          <w:sz w:val="22"/>
          <w:szCs w:val="22"/>
          <w:lang w:val="en-US" w:eastAsia="en-US"/>
        </w:rPr>
        <w:t>a</w:t>
      </w:r>
      <w:r>
        <w:rPr>
          <w:rFonts w:ascii="Arial Narrow" w:eastAsia="Calibri" w:hAnsi="Arial Narrow"/>
          <w:sz w:val="22"/>
          <w:szCs w:val="22"/>
          <w:lang w:val="en-US" w:eastAsia="en-US"/>
        </w:rPr>
        <w:t xml:space="preserve"> </w:t>
      </w:r>
      <w:r w:rsidR="006E59DD" w:rsidRPr="006E59DD">
        <w:rPr>
          <w:rFonts w:ascii="Arial Narrow" w:eastAsia="Calibri" w:hAnsi="Arial Narrow"/>
          <w:sz w:val="22"/>
          <w:szCs w:val="22"/>
          <w:lang w:val="en-US" w:eastAsia="en-US"/>
        </w:rPr>
        <w:t xml:space="preserve">problem (heterogeneity between countries) </w:t>
      </w:r>
      <w:r>
        <w:rPr>
          <w:rFonts w:ascii="Arial Narrow" w:eastAsia="Calibri" w:hAnsi="Arial Narrow"/>
          <w:sz w:val="22"/>
          <w:szCs w:val="22"/>
          <w:lang w:val="en-US" w:eastAsia="en-US"/>
        </w:rPr>
        <w:t xml:space="preserve">additional </w:t>
      </w:r>
      <w:r w:rsidR="006E59DD" w:rsidRPr="006E59DD">
        <w:rPr>
          <w:rFonts w:ascii="Arial Narrow" w:eastAsia="Calibri" w:hAnsi="Arial Narrow"/>
          <w:sz w:val="22"/>
          <w:szCs w:val="22"/>
          <w:lang w:val="en-US" w:eastAsia="en-US"/>
        </w:rPr>
        <w:t xml:space="preserve">to the one that </w:t>
      </w:r>
      <w:r>
        <w:rPr>
          <w:rFonts w:ascii="Arial Narrow" w:eastAsia="Calibri" w:hAnsi="Arial Narrow"/>
          <w:sz w:val="22"/>
          <w:szCs w:val="22"/>
          <w:lang w:val="en-US" w:eastAsia="en-US"/>
        </w:rPr>
        <w:t xml:space="preserve">is intended </w:t>
      </w:r>
      <w:r w:rsidR="006E59DD" w:rsidRPr="006E59DD">
        <w:rPr>
          <w:rFonts w:ascii="Arial Narrow" w:eastAsia="Calibri" w:hAnsi="Arial Narrow"/>
          <w:sz w:val="22"/>
          <w:szCs w:val="22"/>
          <w:lang w:val="en-US" w:eastAsia="en-US"/>
        </w:rPr>
        <w:t xml:space="preserve">to be </w:t>
      </w:r>
      <w:r>
        <w:rPr>
          <w:rFonts w:ascii="Arial Narrow" w:eastAsia="Calibri" w:hAnsi="Arial Narrow"/>
          <w:sz w:val="22"/>
          <w:szCs w:val="22"/>
          <w:lang w:val="en-US" w:eastAsia="en-US"/>
        </w:rPr>
        <w:t xml:space="preserve">fixed </w:t>
      </w:r>
      <w:r w:rsidR="006E59DD" w:rsidRPr="006E59DD">
        <w:rPr>
          <w:rFonts w:ascii="Arial Narrow" w:eastAsia="Calibri" w:hAnsi="Arial Narrow"/>
          <w:sz w:val="22"/>
          <w:szCs w:val="22"/>
          <w:lang w:val="en-US" w:eastAsia="en-US"/>
        </w:rPr>
        <w:t>(</w:t>
      </w:r>
      <w:r>
        <w:rPr>
          <w:rFonts w:ascii="Arial Narrow" w:eastAsia="Calibri" w:hAnsi="Arial Narrow"/>
          <w:sz w:val="22"/>
          <w:szCs w:val="22"/>
          <w:lang w:val="en-US" w:eastAsia="en-US"/>
        </w:rPr>
        <w:t xml:space="preserve">heterogeneity between </w:t>
      </w:r>
      <w:r w:rsidR="006E59DD" w:rsidRPr="006E59DD">
        <w:rPr>
          <w:rFonts w:ascii="Arial Narrow" w:eastAsia="Calibri" w:hAnsi="Arial Narrow"/>
          <w:sz w:val="22"/>
          <w:szCs w:val="22"/>
          <w:lang w:val="en-US" w:eastAsia="en-US"/>
        </w:rPr>
        <w:t>product</w:t>
      </w:r>
      <w:r>
        <w:rPr>
          <w:rFonts w:ascii="Arial Narrow" w:eastAsia="Calibri" w:hAnsi="Arial Narrow"/>
          <w:sz w:val="22"/>
          <w:szCs w:val="22"/>
          <w:lang w:val="en-US" w:eastAsia="en-US"/>
        </w:rPr>
        <w:t>s</w:t>
      </w:r>
      <w:r w:rsidR="006E59DD" w:rsidRPr="006E59DD">
        <w:rPr>
          <w:rFonts w:ascii="Arial Narrow" w:eastAsia="Calibri" w:hAnsi="Arial Narrow"/>
          <w:sz w:val="22"/>
          <w:szCs w:val="22"/>
          <w:lang w:val="en-US" w:eastAsia="en-US"/>
        </w:rPr>
        <w:t>).</w:t>
      </w:r>
      <w:r>
        <w:rPr>
          <w:rFonts w:ascii="Arial Narrow" w:eastAsia="Calibri" w:hAnsi="Arial Narrow"/>
          <w:sz w:val="22"/>
          <w:szCs w:val="22"/>
          <w:lang w:val="en-US" w:eastAsia="en-US"/>
        </w:rPr>
        <w:t xml:space="preserve"> </w:t>
      </w:r>
      <w:r w:rsidR="006E59DD" w:rsidRPr="006E59DD">
        <w:rPr>
          <w:rFonts w:ascii="Arial Narrow" w:eastAsia="Calibri" w:hAnsi="Arial Narrow"/>
          <w:sz w:val="22"/>
          <w:szCs w:val="22"/>
          <w:lang w:val="en-US" w:eastAsia="en-US"/>
        </w:rPr>
        <w:t>This would</w:t>
      </w:r>
      <w:r>
        <w:rPr>
          <w:rFonts w:ascii="Arial Narrow" w:eastAsia="Calibri" w:hAnsi="Arial Narrow"/>
          <w:sz w:val="22"/>
          <w:szCs w:val="22"/>
          <w:lang w:val="en-US" w:eastAsia="en-US"/>
        </w:rPr>
        <w:t>,</w:t>
      </w:r>
      <w:r w:rsidR="006E59DD" w:rsidRPr="006E59DD">
        <w:rPr>
          <w:rFonts w:ascii="Arial Narrow" w:eastAsia="Calibri" w:hAnsi="Arial Narrow"/>
          <w:sz w:val="22"/>
          <w:szCs w:val="22"/>
          <w:lang w:val="en-US" w:eastAsia="en-US"/>
        </w:rPr>
        <w:t xml:space="preserve"> </w:t>
      </w:r>
      <w:r>
        <w:rPr>
          <w:rFonts w:ascii="Arial Narrow" w:eastAsia="Calibri" w:hAnsi="Arial Narrow"/>
          <w:sz w:val="22"/>
          <w:szCs w:val="22"/>
          <w:lang w:val="en-US" w:eastAsia="en-US"/>
        </w:rPr>
        <w:t xml:space="preserve">in turn, </w:t>
      </w:r>
      <w:r w:rsidR="006E59DD" w:rsidRPr="006E59DD">
        <w:rPr>
          <w:rFonts w:ascii="Arial Narrow" w:eastAsia="Calibri" w:hAnsi="Arial Narrow"/>
          <w:sz w:val="22"/>
          <w:szCs w:val="22"/>
          <w:lang w:val="en-US" w:eastAsia="en-US"/>
        </w:rPr>
        <w:t xml:space="preserve">threat the confidence in the </w:t>
      </w:r>
      <w:r w:rsidRPr="004E5D98">
        <w:rPr>
          <w:rFonts w:ascii="Arial Narrow" w:eastAsia="Calibri" w:hAnsi="Arial Narrow"/>
          <w:sz w:val="22"/>
          <w:szCs w:val="22"/>
          <w:lang w:val="en-US" w:eastAsia="en-US"/>
        </w:rPr>
        <w:t>single European financial market</w:t>
      </w:r>
      <w:r w:rsidR="006E59DD" w:rsidRPr="006E59DD">
        <w:rPr>
          <w:rFonts w:ascii="Arial Narrow" w:eastAsia="Calibri" w:hAnsi="Arial Narrow"/>
          <w:sz w:val="22"/>
          <w:szCs w:val="22"/>
          <w:lang w:val="en-US" w:eastAsia="en-US"/>
        </w:rPr>
        <w:t xml:space="preserve">.  </w:t>
      </w:r>
    </w:p>
    <w:p w14:paraId="726A7F52" w14:textId="455BAFDB" w:rsidR="006E59DD" w:rsidRDefault="00F14C02" w:rsidP="006E59DD">
      <w:pPr>
        <w:tabs>
          <w:tab w:val="left" w:pos="-284"/>
        </w:tabs>
        <w:spacing w:after="160" w:line="259" w:lineRule="auto"/>
        <w:ind w:left="284" w:right="-284"/>
        <w:jc w:val="both"/>
        <w:rPr>
          <w:rFonts w:ascii="Arial Narrow" w:eastAsia="Calibri" w:hAnsi="Arial Narrow"/>
          <w:sz w:val="22"/>
          <w:szCs w:val="22"/>
          <w:lang w:val="en-US" w:eastAsia="en-US"/>
        </w:rPr>
      </w:pPr>
      <w:r>
        <w:rPr>
          <w:rFonts w:ascii="Arial Narrow" w:eastAsia="Calibri" w:hAnsi="Arial Narrow"/>
          <w:sz w:val="22"/>
          <w:szCs w:val="22"/>
          <w:lang w:val="en-US" w:eastAsia="en-US"/>
        </w:rPr>
        <w:t>F</w:t>
      </w:r>
      <w:r w:rsidR="006E59DD" w:rsidRPr="006E59DD">
        <w:rPr>
          <w:rFonts w:ascii="Arial Narrow" w:eastAsia="Calibri" w:hAnsi="Arial Narrow"/>
          <w:sz w:val="22"/>
          <w:szCs w:val="22"/>
          <w:lang w:val="en-US" w:eastAsia="en-US"/>
        </w:rPr>
        <w:t xml:space="preserve">or the ESMA Guidelines to fulfill their intended purpose, </w:t>
      </w:r>
      <w:r>
        <w:rPr>
          <w:rFonts w:ascii="Arial Narrow" w:eastAsia="Calibri" w:hAnsi="Arial Narrow"/>
          <w:sz w:val="22"/>
          <w:szCs w:val="22"/>
          <w:lang w:val="en-US" w:eastAsia="en-US"/>
        </w:rPr>
        <w:t>the adherence of all the NCAs is key</w:t>
      </w:r>
      <w:r w:rsidR="006E59DD" w:rsidRPr="006E59DD">
        <w:rPr>
          <w:rFonts w:ascii="Arial Narrow" w:eastAsia="Calibri" w:hAnsi="Arial Narrow"/>
          <w:sz w:val="22"/>
          <w:szCs w:val="22"/>
          <w:lang w:val="en-US" w:eastAsia="en-US"/>
        </w:rPr>
        <w:t xml:space="preserve">. Otherwise, the ESMA Guidelines themselves would end up being an obstacle to the achievement of the single market, either by being an element of differentiation in </w:t>
      </w:r>
      <w:r>
        <w:rPr>
          <w:rFonts w:ascii="Arial Narrow" w:eastAsia="Calibri" w:hAnsi="Arial Narrow"/>
          <w:sz w:val="22"/>
          <w:szCs w:val="22"/>
          <w:lang w:val="en-US" w:eastAsia="en-US"/>
        </w:rPr>
        <w:t xml:space="preserve">funds </w:t>
      </w:r>
      <w:r w:rsidR="006E59DD" w:rsidRPr="006E59DD">
        <w:rPr>
          <w:rFonts w:ascii="Arial Narrow" w:eastAsia="Calibri" w:hAnsi="Arial Narrow"/>
          <w:sz w:val="22"/>
          <w:szCs w:val="22"/>
          <w:lang w:val="en-US" w:eastAsia="en-US"/>
        </w:rPr>
        <w:t xml:space="preserve">regulation, or by being an instrument that limits the operation of the European </w:t>
      </w:r>
      <w:r w:rsidR="006E59DD" w:rsidRPr="006E59DD">
        <w:rPr>
          <w:rFonts w:ascii="Arial Narrow" w:eastAsia="Calibri" w:hAnsi="Arial Narrow"/>
          <w:i/>
          <w:iCs/>
          <w:sz w:val="22"/>
          <w:szCs w:val="22"/>
          <w:lang w:val="en-US" w:eastAsia="en-US"/>
        </w:rPr>
        <w:t>passport</w:t>
      </w:r>
      <w:r>
        <w:rPr>
          <w:rFonts w:ascii="Arial Narrow" w:eastAsia="Calibri" w:hAnsi="Arial Narrow"/>
          <w:sz w:val="22"/>
          <w:szCs w:val="22"/>
          <w:lang w:val="en-US" w:eastAsia="en-US"/>
        </w:rPr>
        <w:t xml:space="preserve"> (</w:t>
      </w:r>
      <w:r w:rsidR="006E59DD" w:rsidRPr="006E59DD">
        <w:rPr>
          <w:rFonts w:ascii="Arial Narrow" w:eastAsia="Calibri" w:hAnsi="Arial Narrow"/>
          <w:sz w:val="22"/>
          <w:szCs w:val="22"/>
          <w:lang w:val="en-US" w:eastAsia="en-US"/>
        </w:rPr>
        <w:t>calling into question the principle of mutual recognition of Funds authorized in another Member State</w:t>
      </w:r>
      <w:r>
        <w:rPr>
          <w:rFonts w:ascii="Arial Narrow" w:eastAsia="Calibri" w:hAnsi="Arial Narrow"/>
          <w:sz w:val="22"/>
          <w:szCs w:val="22"/>
          <w:lang w:val="en-US" w:eastAsia="en-US"/>
        </w:rPr>
        <w:t>)</w:t>
      </w:r>
      <w:r w:rsidR="006E59DD" w:rsidRPr="006E59DD">
        <w:rPr>
          <w:rFonts w:ascii="Arial Narrow" w:eastAsia="Calibri" w:hAnsi="Arial Narrow"/>
          <w:sz w:val="22"/>
          <w:szCs w:val="22"/>
          <w:lang w:val="en-US" w:eastAsia="en-US"/>
        </w:rPr>
        <w:t>.</w:t>
      </w:r>
    </w:p>
    <w:p w14:paraId="528E2825" w14:textId="77777777" w:rsidR="006E59DD" w:rsidRPr="006E59DD" w:rsidRDefault="006E59DD" w:rsidP="006E59DD">
      <w:pPr>
        <w:tabs>
          <w:tab w:val="left" w:pos="-284"/>
        </w:tabs>
        <w:spacing w:after="160" w:line="259" w:lineRule="auto"/>
        <w:ind w:left="284" w:right="-284"/>
        <w:jc w:val="both"/>
        <w:rPr>
          <w:rFonts w:ascii="Arial Narrow" w:eastAsia="Calibri" w:hAnsi="Arial Narrow"/>
          <w:sz w:val="22"/>
          <w:szCs w:val="22"/>
          <w:lang w:val="en-US" w:eastAsia="en-US"/>
        </w:rPr>
      </w:pPr>
    </w:p>
    <w:p w14:paraId="7AA35709" w14:textId="77777777" w:rsidR="006E59DD" w:rsidRPr="006E59DD" w:rsidRDefault="006E59DD" w:rsidP="00057085">
      <w:pPr>
        <w:numPr>
          <w:ilvl w:val="0"/>
          <w:numId w:val="39"/>
        </w:numPr>
        <w:tabs>
          <w:tab w:val="left" w:pos="-284"/>
        </w:tabs>
        <w:spacing w:after="160" w:line="259" w:lineRule="auto"/>
        <w:ind w:right="-284"/>
        <w:contextualSpacing/>
        <w:jc w:val="both"/>
        <w:rPr>
          <w:rFonts w:ascii="Arial Narrow" w:eastAsia="Calibri" w:hAnsi="Arial Narrow"/>
          <w:b/>
          <w:bCs/>
          <w:sz w:val="22"/>
          <w:szCs w:val="22"/>
          <w:lang w:val="en-US" w:eastAsia="en-US"/>
        </w:rPr>
      </w:pPr>
      <w:r w:rsidRPr="006E59DD">
        <w:rPr>
          <w:rFonts w:ascii="Arial Narrow" w:eastAsia="Calibri" w:hAnsi="Arial Narrow"/>
          <w:b/>
          <w:bCs/>
          <w:sz w:val="22"/>
          <w:szCs w:val="22"/>
          <w:lang w:val="en-US" w:eastAsia="en-US"/>
        </w:rPr>
        <w:t>Possible undesired effects of the Guidelines in their current wording</w:t>
      </w:r>
    </w:p>
    <w:p w14:paraId="5918A041" w14:textId="77777777" w:rsidR="006E59DD" w:rsidRDefault="006E59DD" w:rsidP="006E59DD">
      <w:pPr>
        <w:tabs>
          <w:tab w:val="left" w:pos="-284"/>
        </w:tabs>
        <w:spacing w:after="160" w:line="259" w:lineRule="auto"/>
        <w:ind w:left="284" w:right="-284"/>
        <w:jc w:val="both"/>
        <w:rPr>
          <w:rFonts w:ascii="Arial Narrow" w:eastAsia="Calibri" w:hAnsi="Arial Narrow"/>
          <w:sz w:val="22"/>
          <w:szCs w:val="22"/>
          <w:lang w:val="en-US" w:eastAsia="en-US"/>
        </w:rPr>
      </w:pPr>
    </w:p>
    <w:p w14:paraId="674EE3FC" w14:textId="05CD6121" w:rsidR="006E59DD" w:rsidRPr="006E59DD" w:rsidRDefault="006E59DD" w:rsidP="006E59DD">
      <w:pPr>
        <w:tabs>
          <w:tab w:val="left" w:pos="-284"/>
        </w:tabs>
        <w:spacing w:after="160" w:line="259" w:lineRule="auto"/>
        <w:ind w:left="284" w:right="-284"/>
        <w:jc w:val="both"/>
        <w:rPr>
          <w:rFonts w:ascii="Arial Narrow" w:eastAsia="Calibri" w:hAnsi="Arial Narrow"/>
          <w:sz w:val="22"/>
          <w:szCs w:val="22"/>
          <w:lang w:val="en-US" w:eastAsia="en-US"/>
        </w:rPr>
      </w:pPr>
      <w:r w:rsidRPr="006E59DD">
        <w:rPr>
          <w:rFonts w:ascii="Arial Narrow" w:eastAsia="Calibri" w:hAnsi="Arial Narrow"/>
          <w:sz w:val="22"/>
          <w:szCs w:val="22"/>
          <w:lang w:val="en-US" w:eastAsia="en-US"/>
        </w:rPr>
        <w:t xml:space="preserve">It is advisable to avoid some of the most </w:t>
      </w:r>
      <w:r w:rsidR="00F14C02">
        <w:rPr>
          <w:rFonts w:ascii="Arial Narrow" w:eastAsia="Calibri" w:hAnsi="Arial Narrow"/>
          <w:sz w:val="22"/>
          <w:szCs w:val="22"/>
          <w:lang w:val="en-US" w:eastAsia="en-US"/>
        </w:rPr>
        <w:t xml:space="preserve">negative impacts </w:t>
      </w:r>
      <w:r w:rsidRPr="006E59DD">
        <w:rPr>
          <w:rFonts w:ascii="Arial Narrow" w:eastAsia="Calibri" w:hAnsi="Arial Narrow"/>
          <w:sz w:val="22"/>
          <w:szCs w:val="22"/>
          <w:lang w:val="en-US" w:eastAsia="en-US"/>
        </w:rPr>
        <w:t xml:space="preserve">that the Guidelines, as currently drafted, could entail: </w:t>
      </w:r>
    </w:p>
    <w:p w14:paraId="588D3428" w14:textId="77777777" w:rsidR="006E59DD" w:rsidRPr="006E59DD" w:rsidRDefault="006E59DD" w:rsidP="00057085">
      <w:pPr>
        <w:numPr>
          <w:ilvl w:val="0"/>
          <w:numId w:val="40"/>
        </w:numPr>
        <w:tabs>
          <w:tab w:val="left" w:pos="-284"/>
        </w:tabs>
        <w:spacing w:after="160" w:line="259" w:lineRule="auto"/>
        <w:ind w:right="-284"/>
        <w:contextualSpacing/>
        <w:jc w:val="both"/>
        <w:rPr>
          <w:rFonts w:ascii="Arial Narrow" w:eastAsia="Calibri" w:hAnsi="Arial Narrow"/>
          <w:sz w:val="22"/>
          <w:szCs w:val="22"/>
          <w:lang w:val="en-US" w:eastAsia="en-US"/>
        </w:rPr>
      </w:pPr>
      <w:r w:rsidRPr="006E59DD">
        <w:rPr>
          <w:rFonts w:ascii="Arial Narrow" w:eastAsia="Calibri" w:hAnsi="Arial Narrow"/>
          <w:sz w:val="22"/>
          <w:szCs w:val="22"/>
          <w:lang w:val="en-US" w:eastAsia="en-US"/>
        </w:rPr>
        <w:t xml:space="preserve">The overlap and generation of inconsistencies with existing sustainable finance legislation and, possibly, with the future ecolabel. </w:t>
      </w:r>
    </w:p>
    <w:p w14:paraId="3C16B4CE" w14:textId="77777777" w:rsidR="006E59DD" w:rsidRPr="006E59DD" w:rsidRDefault="006E59DD" w:rsidP="00057085">
      <w:pPr>
        <w:numPr>
          <w:ilvl w:val="0"/>
          <w:numId w:val="40"/>
        </w:numPr>
        <w:tabs>
          <w:tab w:val="left" w:pos="-284"/>
        </w:tabs>
        <w:spacing w:after="160" w:line="259" w:lineRule="auto"/>
        <w:ind w:right="-284"/>
        <w:contextualSpacing/>
        <w:jc w:val="both"/>
        <w:rPr>
          <w:rFonts w:ascii="Arial Narrow" w:eastAsia="Calibri" w:hAnsi="Arial Narrow"/>
          <w:sz w:val="22"/>
          <w:szCs w:val="22"/>
          <w:lang w:val="en-US" w:eastAsia="en-US"/>
        </w:rPr>
      </w:pPr>
      <w:r w:rsidRPr="006E59DD">
        <w:rPr>
          <w:rFonts w:ascii="Arial Narrow" w:eastAsia="Calibri" w:hAnsi="Arial Narrow"/>
          <w:sz w:val="22"/>
          <w:szCs w:val="22"/>
          <w:lang w:val="en-US" w:eastAsia="en-US"/>
        </w:rPr>
        <w:t>The risk of entities restricting the launch of more funds with a sustainable bias due to excessively strict or inappropriate criteria (as in the case of the proposed minimum guarantees).</w:t>
      </w:r>
    </w:p>
    <w:p w14:paraId="4E23073F" w14:textId="77777777" w:rsidR="006E59DD" w:rsidRPr="006E59DD" w:rsidRDefault="006E59DD" w:rsidP="00057085">
      <w:pPr>
        <w:numPr>
          <w:ilvl w:val="0"/>
          <w:numId w:val="40"/>
        </w:numPr>
        <w:tabs>
          <w:tab w:val="left" w:pos="-284"/>
        </w:tabs>
        <w:spacing w:after="160" w:line="259" w:lineRule="auto"/>
        <w:ind w:right="-284"/>
        <w:contextualSpacing/>
        <w:jc w:val="both"/>
        <w:rPr>
          <w:rFonts w:ascii="Arial Narrow" w:eastAsia="Calibri" w:hAnsi="Arial Narrow"/>
          <w:sz w:val="22"/>
          <w:szCs w:val="22"/>
          <w:lang w:val="en-US" w:eastAsia="en-US"/>
        </w:rPr>
      </w:pPr>
      <w:r w:rsidRPr="006E59DD">
        <w:rPr>
          <w:rFonts w:ascii="Arial Narrow" w:eastAsia="Calibri" w:hAnsi="Arial Narrow"/>
          <w:sz w:val="22"/>
          <w:szCs w:val="22"/>
          <w:lang w:val="en-US" w:eastAsia="en-US"/>
        </w:rPr>
        <w:lastRenderedPageBreak/>
        <w:t xml:space="preserve">Increasing difficulties in understanding the differences between the various sustainably biased saving-investment financial products and the different levels of protection faced by investors. </w:t>
      </w:r>
    </w:p>
    <w:p w14:paraId="30D9CF82" w14:textId="77777777" w:rsidR="006E59DD" w:rsidRPr="006E59DD" w:rsidRDefault="006E59DD" w:rsidP="00057085">
      <w:pPr>
        <w:numPr>
          <w:ilvl w:val="0"/>
          <w:numId w:val="40"/>
        </w:numPr>
        <w:tabs>
          <w:tab w:val="left" w:pos="-284"/>
        </w:tabs>
        <w:spacing w:after="160" w:line="259" w:lineRule="auto"/>
        <w:ind w:right="-284"/>
        <w:contextualSpacing/>
        <w:jc w:val="both"/>
        <w:rPr>
          <w:rFonts w:ascii="Arial Narrow" w:eastAsia="Calibri" w:hAnsi="Arial Narrow"/>
          <w:sz w:val="22"/>
          <w:szCs w:val="22"/>
          <w:lang w:val="en-US" w:eastAsia="en-US"/>
        </w:rPr>
      </w:pPr>
      <w:r w:rsidRPr="006E59DD">
        <w:rPr>
          <w:rFonts w:ascii="Arial Narrow" w:eastAsia="Calibri" w:hAnsi="Arial Narrow"/>
          <w:sz w:val="22"/>
          <w:szCs w:val="22"/>
          <w:lang w:val="en-US" w:eastAsia="en-US"/>
        </w:rPr>
        <w:t xml:space="preserve">The costs arising from continuous regulatory changes at the level of local authorities, institutions and ultimately participants. </w:t>
      </w:r>
    </w:p>
    <w:p w14:paraId="2EFA7CFA" w14:textId="77777777" w:rsidR="006E59DD" w:rsidRPr="006E59DD" w:rsidRDefault="006E59DD" w:rsidP="00057085">
      <w:pPr>
        <w:numPr>
          <w:ilvl w:val="0"/>
          <w:numId w:val="40"/>
        </w:numPr>
        <w:tabs>
          <w:tab w:val="left" w:pos="-284"/>
        </w:tabs>
        <w:spacing w:after="160" w:line="259" w:lineRule="auto"/>
        <w:ind w:right="-284"/>
        <w:contextualSpacing/>
        <w:jc w:val="both"/>
        <w:rPr>
          <w:rFonts w:ascii="Arial Narrow" w:eastAsia="Calibri" w:hAnsi="Arial Narrow"/>
          <w:sz w:val="22"/>
          <w:szCs w:val="22"/>
          <w:lang w:val="en-US" w:eastAsia="en-US"/>
        </w:rPr>
      </w:pPr>
      <w:r w:rsidRPr="006E59DD">
        <w:rPr>
          <w:rFonts w:ascii="Arial Narrow" w:eastAsia="Calibri" w:hAnsi="Arial Narrow"/>
          <w:sz w:val="22"/>
          <w:szCs w:val="22"/>
          <w:lang w:val="en-US" w:eastAsia="en-US"/>
        </w:rPr>
        <w:t>Or the high reputational risks arising from the incorporation of non-cross-cutting sustainable finance criteria across instruments.</w:t>
      </w:r>
    </w:p>
    <w:p w14:paraId="5A9958FD" w14:textId="77777777" w:rsidR="006E59DD" w:rsidRPr="006E59DD" w:rsidRDefault="006E59DD" w:rsidP="006E59DD">
      <w:pPr>
        <w:tabs>
          <w:tab w:val="left" w:pos="-284"/>
        </w:tabs>
        <w:spacing w:after="160" w:line="259" w:lineRule="auto"/>
        <w:ind w:left="720" w:right="-284"/>
        <w:contextualSpacing/>
        <w:jc w:val="both"/>
        <w:rPr>
          <w:rFonts w:ascii="Arial Narrow" w:eastAsia="Calibri" w:hAnsi="Arial Narrow"/>
          <w:sz w:val="22"/>
          <w:szCs w:val="22"/>
          <w:lang w:val="en-US" w:eastAsia="en-US"/>
        </w:rPr>
      </w:pPr>
    </w:p>
    <w:permEnd w:id="1100430741"/>
    <w:p w14:paraId="3B95B420" w14:textId="77777777" w:rsidR="00B92885" w:rsidRPr="00B92885" w:rsidRDefault="00B92885" w:rsidP="00B92885">
      <w:pPr>
        <w:spacing w:after="160" w:line="259" w:lineRule="auto"/>
        <w:rPr>
          <w:rFonts w:ascii="Calibri" w:eastAsia="Calibri" w:hAnsi="Calibri"/>
          <w:sz w:val="22"/>
          <w:szCs w:val="22"/>
          <w:lang w:eastAsia="en-US"/>
        </w:rPr>
      </w:pPr>
      <w:r w:rsidRPr="00B92885">
        <w:rPr>
          <w:rFonts w:ascii="Calibri" w:eastAsia="Calibri" w:hAnsi="Calibri"/>
          <w:sz w:val="22"/>
          <w:szCs w:val="22"/>
          <w:lang w:eastAsia="en-US"/>
        </w:rPr>
        <w:t>&lt;ESMA_QUESTION_FUNA_0&gt;</w:t>
      </w:r>
    </w:p>
    <w:p w14:paraId="3B7AB56A" w14:textId="486D865E" w:rsidR="00F87897" w:rsidRPr="00BF28DA" w:rsidRDefault="00F87897" w:rsidP="00F87897"/>
    <w:p w14:paraId="08CA68BE" w14:textId="77777777" w:rsidR="00B92885" w:rsidRDefault="00F87897" w:rsidP="00057085">
      <w:pPr>
        <w:pStyle w:val="Questionstyle"/>
        <w:numPr>
          <w:ilvl w:val="0"/>
          <w:numId w:val="37"/>
        </w:numPr>
      </w:pPr>
      <w:r>
        <w:br w:type="page"/>
      </w:r>
      <w:r w:rsidR="00B92885">
        <w:lastRenderedPageBreak/>
        <w:t xml:space="preserve">: </w:t>
      </w:r>
      <w:r w:rsidR="00B92885" w:rsidRPr="00C96AFA">
        <w:t>Do you agree with the need to introduce quantitative thresholds to assess funds’ names?</w:t>
      </w:r>
    </w:p>
    <w:p w14:paraId="5820FAB8" w14:textId="77777777" w:rsidR="00B92885" w:rsidRDefault="00B92885" w:rsidP="00B92885">
      <w:r>
        <w:t>&lt;ESMA_QUESTION_FUNA_1&gt;</w:t>
      </w:r>
    </w:p>
    <w:p w14:paraId="50EB7E99" w14:textId="77777777" w:rsidR="006E59DD" w:rsidRDefault="006E59DD" w:rsidP="006E59DD">
      <w:pPr>
        <w:tabs>
          <w:tab w:val="left" w:pos="-284"/>
        </w:tabs>
        <w:ind w:left="284" w:right="-284"/>
        <w:jc w:val="both"/>
        <w:rPr>
          <w:rFonts w:ascii="Arial Narrow" w:eastAsia="Calibri" w:hAnsi="Arial Narrow"/>
          <w:sz w:val="22"/>
          <w:szCs w:val="22"/>
          <w:lang w:val="en-US" w:eastAsia="en-US"/>
        </w:rPr>
      </w:pPr>
      <w:permStart w:id="1596738700" w:edGrp="everyone"/>
    </w:p>
    <w:p w14:paraId="2A551069" w14:textId="34E10C50" w:rsidR="006E59DD" w:rsidRDefault="006E59DD" w:rsidP="00E37100">
      <w:pPr>
        <w:tabs>
          <w:tab w:val="left" w:pos="-284"/>
        </w:tabs>
        <w:ind w:right="-284"/>
        <w:jc w:val="both"/>
        <w:rPr>
          <w:rFonts w:ascii="Arial Narrow" w:eastAsia="Calibri" w:hAnsi="Arial Narrow"/>
          <w:sz w:val="22"/>
          <w:szCs w:val="22"/>
          <w:lang w:val="en-US" w:eastAsia="en-US"/>
        </w:rPr>
      </w:pPr>
      <w:r w:rsidRPr="006E59DD">
        <w:rPr>
          <w:rFonts w:ascii="Arial Narrow" w:eastAsia="Calibri" w:hAnsi="Arial Narrow"/>
          <w:sz w:val="22"/>
          <w:szCs w:val="22"/>
          <w:lang w:val="en-US" w:eastAsia="en-US"/>
        </w:rPr>
        <w:t xml:space="preserve">INVERCO appreciates ESMA's effort to establish criteria to reduce the heterogeneity of supervisory practices in the EU but, as </w:t>
      </w:r>
      <w:r w:rsidR="0025017D">
        <w:rPr>
          <w:rFonts w:ascii="Arial Narrow" w:eastAsia="Calibri" w:hAnsi="Arial Narrow"/>
          <w:sz w:val="22"/>
          <w:szCs w:val="22"/>
          <w:lang w:val="en-US" w:eastAsia="en-US"/>
        </w:rPr>
        <w:t>above mentioned</w:t>
      </w:r>
      <w:r w:rsidRPr="006E59DD">
        <w:rPr>
          <w:rFonts w:ascii="Arial Narrow" w:eastAsia="Calibri" w:hAnsi="Arial Narrow"/>
          <w:sz w:val="22"/>
          <w:szCs w:val="22"/>
          <w:lang w:val="en-US" w:eastAsia="en-US"/>
        </w:rPr>
        <w:t>, quantitative thresholds would have a disruptive effect</w:t>
      </w:r>
      <w:r w:rsidR="0025017D">
        <w:rPr>
          <w:rFonts w:ascii="Arial Narrow" w:eastAsia="Calibri" w:hAnsi="Arial Narrow"/>
          <w:sz w:val="22"/>
          <w:szCs w:val="22"/>
          <w:lang w:val="en-US" w:eastAsia="en-US"/>
        </w:rPr>
        <w:t xml:space="preserve"> which</w:t>
      </w:r>
      <w:r w:rsidRPr="006E59DD">
        <w:rPr>
          <w:rFonts w:ascii="Arial Narrow" w:eastAsia="Calibri" w:hAnsi="Arial Narrow"/>
          <w:sz w:val="22"/>
          <w:szCs w:val="22"/>
          <w:lang w:val="en-US" w:eastAsia="en-US"/>
        </w:rPr>
        <w:t xml:space="preserve"> would be preferable not to introduce via Guidelines. </w:t>
      </w:r>
    </w:p>
    <w:p w14:paraId="1EC50E79" w14:textId="77777777" w:rsidR="00F14C02" w:rsidRPr="006E59DD" w:rsidRDefault="00F14C02" w:rsidP="00E37100">
      <w:pPr>
        <w:tabs>
          <w:tab w:val="left" w:pos="-284"/>
        </w:tabs>
        <w:ind w:right="-284"/>
        <w:jc w:val="both"/>
        <w:rPr>
          <w:rFonts w:ascii="Arial Narrow" w:eastAsia="Calibri" w:hAnsi="Arial Narrow"/>
          <w:sz w:val="22"/>
          <w:szCs w:val="22"/>
          <w:lang w:val="en-US" w:eastAsia="en-US"/>
        </w:rPr>
      </w:pPr>
    </w:p>
    <w:p w14:paraId="1C635F18" w14:textId="14157889" w:rsidR="006E59DD" w:rsidRDefault="006E59DD" w:rsidP="00E37100">
      <w:pPr>
        <w:tabs>
          <w:tab w:val="left" w:pos="-284"/>
        </w:tabs>
        <w:ind w:right="-284"/>
        <w:jc w:val="both"/>
        <w:rPr>
          <w:rFonts w:ascii="Arial Narrow" w:eastAsia="Calibri" w:hAnsi="Arial Narrow"/>
          <w:sz w:val="22"/>
          <w:szCs w:val="22"/>
          <w:lang w:val="en-US" w:eastAsia="en-US"/>
        </w:rPr>
      </w:pPr>
      <w:r w:rsidRPr="006E59DD">
        <w:rPr>
          <w:rFonts w:ascii="Arial Narrow" w:eastAsia="Calibri" w:hAnsi="Arial Narrow"/>
          <w:sz w:val="22"/>
          <w:szCs w:val="22"/>
          <w:lang w:val="en-US" w:eastAsia="en-US"/>
        </w:rPr>
        <w:t xml:space="preserve">Such Guidelines could undermine the credibility of those Funds that have been making an effort to align themselves with sustainability, while remaining at the mercy of what happens with the next wave of reclassifications </w:t>
      </w:r>
      <w:r w:rsidR="0025017D">
        <w:rPr>
          <w:rFonts w:ascii="Arial Narrow" w:eastAsia="Calibri" w:hAnsi="Arial Narrow"/>
          <w:sz w:val="22"/>
          <w:szCs w:val="22"/>
          <w:lang w:val="en-US" w:eastAsia="en-US"/>
        </w:rPr>
        <w:t xml:space="preserve">by virtue of, among others, prospect </w:t>
      </w:r>
      <w:r w:rsidRPr="006E59DD">
        <w:rPr>
          <w:rFonts w:ascii="Arial Narrow" w:eastAsia="Calibri" w:hAnsi="Arial Narrow"/>
          <w:sz w:val="22"/>
          <w:szCs w:val="22"/>
          <w:lang w:val="en-US" w:eastAsia="en-US"/>
        </w:rPr>
        <w:t>SFDR</w:t>
      </w:r>
      <w:r w:rsidR="0025017D">
        <w:rPr>
          <w:rFonts w:ascii="Arial Narrow" w:eastAsia="Calibri" w:hAnsi="Arial Narrow"/>
          <w:sz w:val="22"/>
          <w:szCs w:val="22"/>
          <w:lang w:val="en-US" w:eastAsia="en-US"/>
        </w:rPr>
        <w:t xml:space="preserve"> modification </w:t>
      </w:r>
      <w:r w:rsidRPr="006E59DD">
        <w:rPr>
          <w:rFonts w:ascii="Arial Narrow" w:eastAsia="Calibri" w:hAnsi="Arial Narrow"/>
          <w:sz w:val="22"/>
          <w:szCs w:val="22"/>
          <w:lang w:val="en-US" w:eastAsia="en-US"/>
        </w:rPr>
        <w:t>and</w:t>
      </w:r>
      <w:r w:rsidR="0025017D">
        <w:rPr>
          <w:rFonts w:ascii="Arial Narrow" w:eastAsia="Calibri" w:hAnsi="Arial Narrow"/>
          <w:sz w:val="22"/>
          <w:szCs w:val="22"/>
          <w:lang w:val="en-US" w:eastAsia="en-US"/>
        </w:rPr>
        <w:t>/or</w:t>
      </w:r>
      <w:r w:rsidRPr="006E59DD">
        <w:rPr>
          <w:rFonts w:ascii="Arial Narrow" w:eastAsia="Calibri" w:hAnsi="Arial Narrow"/>
          <w:sz w:val="22"/>
          <w:szCs w:val="22"/>
          <w:lang w:val="en-US" w:eastAsia="en-US"/>
        </w:rPr>
        <w:t xml:space="preserve"> clarification of concepts such as "sustainable investment" or the </w:t>
      </w:r>
      <w:r w:rsidR="00181223">
        <w:rPr>
          <w:rFonts w:ascii="Arial Narrow" w:eastAsia="Calibri" w:hAnsi="Arial Narrow"/>
          <w:sz w:val="22"/>
          <w:szCs w:val="22"/>
          <w:lang w:val="en-US" w:eastAsia="en-US"/>
        </w:rPr>
        <w:t>“</w:t>
      </w:r>
      <w:r w:rsidRPr="006E59DD">
        <w:rPr>
          <w:rFonts w:ascii="Arial Narrow" w:eastAsia="Calibri" w:hAnsi="Arial Narrow"/>
          <w:sz w:val="22"/>
          <w:szCs w:val="22"/>
          <w:lang w:val="en-US" w:eastAsia="en-US"/>
        </w:rPr>
        <w:t xml:space="preserve">consideration of </w:t>
      </w:r>
      <w:r w:rsidR="00181223">
        <w:rPr>
          <w:rFonts w:ascii="Arial Narrow" w:eastAsia="Calibri" w:hAnsi="Arial Narrow"/>
          <w:sz w:val="22"/>
          <w:szCs w:val="22"/>
          <w:lang w:val="en-US" w:eastAsia="en-US"/>
        </w:rPr>
        <w:t xml:space="preserve">principal adverse impacts” </w:t>
      </w:r>
      <w:r w:rsidRPr="006E59DD">
        <w:rPr>
          <w:rFonts w:ascii="Arial Narrow" w:eastAsia="Calibri" w:hAnsi="Arial Narrow"/>
          <w:sz w:val="22"/>
          <w:szCs w:val="22"/>
          <w:lang w:val="en-US" w:eastAsia="en-US"/>
        </w:rPr>
        <w:t>(PIAs) (</w:t>
      </w:r>
      <w:r w:rsidR="00181223">
        <w:rPr>
          <w:rFonts w:ascii="Arial Narrow" w:eastAsia="Calibri" w:hAnsi="Arial Narrow"/>
          <w:sz w:val="22"/>
          <w:szCs w:val="22"/>
          <w:lang w:val="en-US" w:eastAsia="en-US"/>
        </w:rPr>
        <w:t xml:space="preserve">as </w:t>
      </w:r>
      <w:r w:rsidRPr="006E59DD">
        <w:rPr>
          <w:rFonts w:ascii="Arial Narrow" w:eastAsia="Calibri" w:hAnsi="Arial Narrow"/>
          <w:sz w:val="22"/>
          <w:szCs w:val="22"/>
          <w:lang w:val="en-US" w:eastAsia="en-US"/>
        </w:rPr>
        <w:t xml:space="preserve">requested </w:t>
      </w:r>
      <w:r w:rsidR="00181223">
        <w:rPr>
          <w:rFonts w:ascii="Arial Narrow" w:eastAsia="Calibri" w:hAnsi="Arial Narrow"/>
          <w:sz w:val="22"/>
          <w:szCs w:val="22"/>
          <w:lang w:val="en-US" w:eastAsia="en-US"/>
        </w:rPr>
        <w:t xml:space="preserve">by the ESAS to </w:t>
      </w:r>
      <w:r w:rsidRPr="006E59DD">
        <w:rPr>
          <w:rFonts w:ascii="Arial Narrow" w:eastAsia="Calibri" w:hAnsi="Arial Narrow"/>
          <w:sz w:val="22"/>
          <w:szCs w:val="22"/>
          <w:lang w:val="en-US" w:eastAsia="en-US"/>
        </w:rPr>
        <w:t xml:space="preserve">the EC in September 2022). </w:t>
      </w:r>
    </w:p>
    <w:p w14:paraId="0285D35F" w14:textId="77777777" w:rsidR="006E59DD" w:rsidRPr="006E59DD" w:rsidRDefault="006E59DD" w:rsidP="00E37100">
      <w:pPr>
        <w:tabs>
          <w:tab w:val="left" w:pos="-284"/>
        </w:tabs>
        <w:ind w:right="-284"/>
        <w:jc w:val="both"/>
        <w:rPr>
          <w:rFonts w:ascii="Arial Narrow" w:eastAsia="Calibri" w:hAnsi="Arial Narrow"/>
          <w:sz w:val="22"/>
          <w:szCs w:val="22"/>
          <w:lang w:val="en-US" w:eastAsia="en-US"/>
        </w:rPr>
      </w:pPr>
    </w:p>
    <w:p w14:paraId="460443B5" w14:textId="6A6382AC" w:rsidR="006E59DD" w:rsidRDefault="006E59DD" w:rsidP="00E37100">
      <w:pPr>
        <w:tabs>
          <w:tab w:val="left" w:pos="-284"/>
        </w:tabs>
        <w:ind w:right="-284"/>
        <w:jc w:val="both"/>
        <w:rPr>
          <w:rFonts w:ascii="Arial Narrow" w:eastAsia="Calibri" w:hAnsi="Arial Narrow"/>
          <w:sz w:val="22"/>
          <w:szCs w:val="22"/>
          <w:lang w:val="en-US" w:eastAsia="en-US"/>
        </w:rPr>
      </w:pPr>
      <w:r w:rsidRPr="006E59DD">
        <w:rPr>
          <w:rFonts w:ascii="Arial Narrow" w:eastAsia="Calibri" w:hAnsi="Arial Narrow"/>
          <w:sz w:val="22"/>
          <w:szCs w:val="22"/>
          <w:lang w:val="en-US" w:eastAsia="en-US"/>
        </w:rPr>
        <w:t xml:space="preserve">Moreover, it is unlikely that the Guidelines with the proposed thresholds can solve the problem of </w:t>
      </w:r>
      <w:r w:rsidR="00181223">
        <w:rPr>
          <w:rFonts w:ascii="Arial Narrow" w:eastAsia="Calibri" w:hAnsi="Arial Narrow"/>
          <w:sz w:val="22"/>
          <w:szCs w:val="22"/>
          <w:lang w:val="en-US" w:eastAsia="en-US"/>
        </w:rPr>
        <w:t xml:space="preserve">market </w:t>
      </w:r>
      <w:r w:rsidRPr="006E59DD">
        <w:rPr>
          <w:rFonts w:ascii="Arial Narrow" w:eastAsia="Calibri" w:hAnsi="Arial Narrow"/>
          <w:sz w:val="22"/>
          <w:szCs w:val="22"/>
          <w:lang w:val="en-US" w:eastAsia="en-US"/>
        </w:rPr>
        <w:t>fragment</w:t>
      </w:r>
      <w:r w:rsidR="00181223">
        <w:rPr>
          <w:rFonts w:ascii="Arial Narrow" w:eastAsia="Calibri" w:hAnsi="Arial Narrow"/>
          <w:sz w:val="22"/>
          <w:szCs w:val="22"/>
          <w:lang w:val="en-US" w:eastAsia="en-US"/>
        </w:rPr>
        <w:t>at</w:t>
      </w:r>
      <w:r w:rsidRPr="006E59DD">
        <w:rPr>
          <w:rFonts w:ascii="Arial Narrow" w:eastAsia="Calibri" w:hAnsi="Arial Narrow"/>
          <w:sz w:val="22"/>
          <w:szCs w:val="22"/>
          <w:lang w:val="en-US" w:eastAsia="en-US"/>
        </w:rPr>
        <w:t>ion</w:t>
      </w:r>
      <w:r w:rsidR="00181223">
        <w:rPr>
          <w:rFonts w:ascii="Arial Narrow" w:eastAsia="Calibri" w:hAnsi="Arial Narrow"/>
          <w:sz w:val="22"/>
          <w:szCs w:val="22"/>
          <w:lang w:val="en-US" w:eastAsia="en-US"/>
        </w:rPr>
        <w:t xml:space="preserve"> in the EU</w:t>
      </w:r>
      <w:r w:rsidRPr="006E59DD">
        <w:rPr>
          <w:rFonts w:ascii="Arial Narrow" w:eastAsia="Calibri" w:hAnsi="Arial Narrow"/>
          <w:sz w:val="22"/>
          <w:szCs w:val="22"/>
          <w:lang w:val="en-US" w:eastAsia="en-US"/>
        </w:rPr>
        <w:t>:</w:t>
      </w:r>
    </w:p>
    <w:p w14:paraId="2B43D21E" w14:textId="13E1519A" w:rsidR="006E59DD" w:rsidRPr="006E59DD" w:rsidRDefault="006E59DD" w:rsidP="00E37100">
      <w:pPr>
        <w:tabs>
          <w:tab w:val="left" w:pos="-284"/>
        </w:tabs>
        <w:ind w:right="-284"/>
        <w:jc w:val="both"/>
        <w:rPr>
          <w:rFonts w:ascii="Arial Narrow" w:eastAsia="Calibri" w:hAnsi="Arial Narrow"/>
          <w:sz w:val="22"/>
          <w:szCs w:val="22"/>
          <w:lang w:val="en-US" w:eastAsia="en-US"/>
        </w:rPr>
      </w:pPr>
      <w:r w:rsidRPr="006E59DD">
        <w:rPr>
          <w:rFonts w:ascii="Arial Narrow" w:eastAsia="Calibri" w:hAnsi="Arial Narrow"/>
          <w:sz w:val="22"/>
          <w:szCs w:val="22"/>
          <w:lang w:val="en-US" w:eastAsia="en-US"/>
        </w:rPr>
        <w:t xml:space="preserve"> </w:t>
      </w:r>
    </w:p>
    <w:p w14:paraId="63E09DCA" w14:textId="755C9189" w:rsidR="006E59DD" w:rsidRPr="006E59DD" w:rsidRDefault="006E59DD" w:rsidP="00057085">
      <w:pPr>
        <w:pStyle w:val="Prrafodelista"/>
        <w:numPr>
          <w:ilvl w:val="0"/>
          <w:numId w:val="41"/>
        </w:numPr>
        <w:tabs>
          <w:tab w:val="left" w:pos="-284"/>
        </w:tabs>
        <w:spacing w:after="160" w:line="259" w:lineRule="auto"/>
        <w:ind w:left="436" w:right="-284"/>
        <w:jc w:val="both"/>
        <w:rPr>
          <w:rFonts w:ascii="Arial Narrow" w:eastAsia="Calibri" w:hAnsi="Arial Narrow"/>
          <w:sz w:val="22"/>
          <w:szCs w:val="22"/>
          <w:lang w:val="en-US" w:eastAsia="en-US"/>
        </w:rPr>
      </w:pPr>
      <w:r w:rsidRPr="006E59DD">
        <w:rPr>
          <w:rFonts w:ascii="Arial Narrow" w:eastAsia="Calibri" w:hAnsi="Arial Narrow"/>
          <w:sz w:val="22"/>
          <w:szCs w:val="22"/>
          <w:lang w:val="en-US" w:eastAsia="en-US"/>
        </w:rPr>
        <w:t>Firstly, the "ESG</w:t>
      </w:r>
      <w:r w:rsidR="00181223">
        <w:rPr>
          <w:rFonts w:ascii="Arial Narrow" w:eastAsia="Calibri" w:hAnsi="Arial Narrow"/>
          <w:sz w:val="22"/>
          <w:szCs w:val="22"/>
          <w:lang w:val="en-US" w:eastAsia="en-US"/>
        </w:rPr>
        <w:t>-</w:t>
      </w:r>
      <w:r w:rsidRPr="006E59DD">
        <w:rPr>
          <w:rFonts w:ascii="Arial Narrow" w:eastAsia="Calibri" w:hAnsi="Arial Narrow"/>
          <w:sz w:val="22"/>
          <w:szCs w:val="22"/>
          <w:lang w:val="en-US" w:eastAsia="en-US"/>
        </w:rPr>
        <w:t xml:space="preserve">related words" concept, is an indeterminate legal concept. If it is not specified which words fall under this category, each NCA will make its own interpretation, with the consequent application of different criteria in each jurisdiction. For example, is the term "health" an ESG-related term in </w:t>
      </w:r>
      <w:r w:rsidR="00181223">
        <w:rPr>
          <w:rFonts w:ascii="Arial Narrow" w:eastAsia="Calibri" w:hAnsi="Arial Narrow"/>
          <w:sz w:val="22"/>
          <w:szCs w:val="22"/>
          <w:lang w:val="en-US" w:eastAsia="en-US"/>
        </w:rPr>
        <w:t>all cases?</w:t>
      </w:r>
      <w:r w:rsidRPr="006E59DD">
        <w:rPr>
          <w:rFonts w:ascii="Arial Narrow" w:eastAsia="Calibri" w:hAnsi="Arial Narrow"/>
          <w:sz w:val="22"/>
          <w:szCs w:val="22"/>
          <w:lang w:val="en-US" w:eastAsia="en-US"/>
        </w:rPr>
        <w:t xml:space="preserve"> </w:t>
      </w:r>
      <w:r w:rsidR="00181223">
        <w:rPr>
          <w:rFonts w:ascii="Arial Narrow" w:eastAsia="Calibri" w:hAnsi="Arial Narrow"/>
          <w:sz w:val="22"/>
          <w:szCs w:val="22"/>
          <w:lang w:val="en-US" w:eastAsia="en-US"/>
        </w:rPr>
        <w:t>O</w:t>
      </w:r>
      <w:r w:rsidRPr="006E59DD">
        <w:rPr>
          <w:rFonts w:ascii="Arial Narrow" w:eastAsia="Calibri" w:hAnsi="Arial Narrow"/>
          <w:sz w:val="22"/>
          <w:szCs w:val="22"/>
          <w:lang w:val="en-US" w:eastAsia="en-US"/>
        </w:rPr>
        <w:t>r does it have to be in combination with some other word for its inclusion to be subject to any restrictions? When is a combination of words necessary for it to be considered an ESG-related term?</w:t>
      </w:r>
    </w:p>
    <w:p w14:paraId="3B1246DE" w14:textId="77777777" w:rsidR="006E59DD" w:rsidRPr="006E59DD" w:rsidRDefault="006E59DD" w:rsidP="00E37100">
      <w:pPr>
        <w:pStyle w:val="Prrafodelista"/>
        <w:tabs>
          <w:tab w:val="left" w:pos="-284"/>
        </w:tabs>
        <w:ind w:left="436" w:right="-284"/>
        <w:jc w:val="both"/>
        <w:rPr>
          <w:rFonts w:ascii="Arial Narrow" w:eastAsia="Calibri" w:hAnsi="Arial Narrow"/>
          <w:sz w:val="22"/>
          <w:szCs w:val="22"/>
          <w:lang w:val="en-US" w:eastAsia="en-US"/>
        </w:rPr>
      </w:pPr>
    </w:p>
    <w:p w14:paraId="47358F7C" w14:textId="53F70E30" w:rsidR="006E59DD" w:rsidRPr="006E59DD" w:rsidRDefault="00181223" w:rsidP="00057085">
      <w:pPr>
        <w:pStyle w:val="Prrafodelista"/>
        <w:numPr>
          <w:ilvl w:val="0"/>
          <w:numId w:val="41"/>
        </w:numPr>
        <w:tabs>
          <w:tab w:val="left" w:pos="-284"/>
        </w:tabs>
        <w:spacing w:after="160" w:line="259" w:lineRule="auto"/>
        <w:ind w:left="436" w:right="-284"/>
        <w:jc w:val="both"/>
        <w:rPr>
          <w:rFonts w:ascii="Arial Narrow" w:eastAsia="Calibri" w:hAnsi="Arial Narrow"/>
          <w:sz w:val="22"/>
          <w:szCs w:val="22"/>
          <w:lang w:val="en-US" w:eastAsia="en-US"/>
        </w:rPr>
      </w:pPr>
      <w:r>
        <w:rPr>
          <w:rFonts w:ascii="Arial Narrow" w:eastAsia="Calibri" w:hAnsi="Arial Narrow"/>
          <w:sz w:val="22"/>
          <w:szCs w:val="22"/>
          <w:lang w:val="en-US" w:eastAsia="en-US"/>
        </w:rPr>
        <w:t>T</w:t>
      </w:r>
      <w:r w:rsidR="006E59DD" w:rsidRPr="006E59DD">
        <w:rPr>
          <w:rFonts w:ascii="Arial Narrow" w:eastAsia="Calibri" w:hAnsi="Arial Narrow"/>
          <w:sz w:val="22"/>
          <w:szCs w:val="22"/>
          <w:lang w:val="en-US" w:eastAsia="en-US"/>
        </w:rPr>
        <w:t>he</w:t>
      </w:r>
      <w:r>
        <w:rPr>
          <w:rFonts w:ascii="Arial Narrow" w:eastAsia="Calibri" w:hAnsi="Arial Narrow"/>
          <w:sz w:val="22"/>
          <w:szCs w:val="22"/>
          <w:lang w:val="en-US" w:eastAsia="en-US"/>
        </w:rPr>
        <w:t xml:space="preserve">re would be a </w:t>
      </w:r>
      <w:r w:rsidR="006E59DD" w:rsidRPr="006E59DD">
        <w:rPr>
          <w:rFonts w:ascii="Arial Narrow" w:eastAsia="Calibri" w:hAnsi="Arial Narrow"/>
          <w:sz w:val="22"/>
          <w:szCs w:val="22"/>
          <w:lang w:val="en-US" w:eastAsia="en-US"/>
        </w:rPr>
        <w:t>potential variety of methodologies for the calculation of the relevant thresholds.</w:t>
      </w:r>
    </w:p>
    <w:p w14:paraId="6CCE63E8" w14:textId="77777777" w:rsidR="006E59DD" w:rsidRPr="006E59DD" w:rsidRDefault="006E59DD" w:rsidP="00E37100">
      <w:pPr>
        <w:pStyle w:val="Prrafodelista"/>
        <w:tabs>
          <w:tab w:val="left" w:pos="-284"/>
        </w:tabs>
        <w:ind w:left="436" w:right="-284"/>
        <w:jc w:val="both"/>
        <w:rPr>
          <w:rFonts w:ascii="Arial Narrow" w:eastAsia="Calibri" w:hAnsi="Arial Narrow"/>
          <w:sz w:val="22"/>
          <w:szCs w:val="22"/>
          <w:lang w:val="en-US" w:eastAsia="en-US"/>
        </w:rPr>
      </w:pPr>
    </w:p>
    <w:p w14:paraId="44DBAFA5" w14:textId="05BCBE68" w:rsidR="006E59DD" w:rsidRPr="006E59DD" w:rsidRDefault="00181223" w:rsidP="00057085">
      <w:pPr>
        <w:pStyle w:val="Prrafodelista"/>
        <w:numPr>
          <w:ilvl w:val="0"/>
          <w:numId w:val="41"/>
        </w:numPr>
        <w:tabs>
          <w:tab w:val="left" w:pos="-284"/>
        </w:tabs>
        <w:spacing w:after="160" w:line="259" w:lineRule="auto"/>
        <w:ind w:left="436" w:right="-284"/>
        <w:jc w:val="both"/>
        <w:rPr>
          <w:rFonts w:ascii="Arial Narrow" w:eastAsia="Calibri" w:hAnsi="Arial Narrow"/>
          <w:sz w:val="22"/>
          <w:szCs w:val="22"/>
          <w:lang w:val="en-US" w:eastAsia="en-US"/>
        </w:rPr>
      </w:pPr>
      <w:r>
        <w:rPr>
          <w:rFonts w:ascii="Arial Narrow" w:eastAsia="Calibri" w:hAnsi="Arial Narrow"/>
          <w:sz w:val="22"/>
          <w:szCs w:val="22"/>
          <w:lang w:val="en-US" w:eastAsia="en-US"/>
        </w:rPr>
        <w:t>T</w:t>
      </w:r>
      <w:r w:rsidR="006E59DD" w:rsidRPr="006E59DD">
        <w:rPr>
          <w:rFonts w:ascii="Arial Narrow" w:eastAsia="Calibri" w:hAnsi="Arial Narrow"/>
          <w:sz w:val="22"/>
          <w:szCs w:val="22"/>
          <w:lang w:val="en-US" w:eastAsia="en-US"/>
        </w:rPr>
        <w:t xml:space="preserve">hresholds </w:t>
      </w:r>
      <w:r>
        <w:rPr>
          <w:rFonts w:ascii="Arial Narrow" w:eastAsia="Calibri" w:hAnsi="Arial Narrow"/>
          <w:sz w:val="22"/>
          <w:szCs w:val="22"/>
          <w:lang w:val="en-US" w:eastAsia="en-US"/>
        </w:rPr>
        <w:t xml:space="preserve">for Fund names </w:t>
      </w:r>
      <w:r w:rsidR="006E59DD" w:rsidRPr="006E59DD">
        <w:rPr>
          <w:rFonts w:ascii="Arial Narrow" w:eastAsia="Calibri" w:hAnsi="Arial Narrow"/>
          <w:sz w:val="22"/>
          <w:szCs w:val="22"/>
          <w:lang w:val="en-US" w:eastAsia="en-US"/>
        </w:rPr>
        <w:t>fall short of increasing investor protection</w:t>
      </w:r>
      <w:r>
        <w:rPr>
          <w:rFonts w:ascii="Arial Narrow" w:eastAsia="Calibri" w:hAnsi="Arial Narrow"/>
          <w:sz w:val="22"/>
          <w:szCs w:val="22"/>
          <w:lang w:val="en-US" w:eastAsia="en-US"/>
        </w:rPr>
        <w:t>:</w:t>
      </w:r>
      <w:r w:rsidR="006E59DD" w:rsidRPr="006E59DD">
        <w:rPr>
          <w:rFonts w:ascii="Arial Narrow" w:eastAsia="Calibri" w:hAnsi="Arial Narrow"/>
          <w:sz w:val="22"/>
          <w:szCs w:val="22"/>
          <w:lang w:val="en-US" w:eastAsia="en-US"/>
        </w:rPr>
        <w:t xml:space="preserve"> The consumer who receives, as usual e.g., in a branch of any distributor, offers on a range of savings-investment instruments does not experience increased protection because of the application of these thresholds </w:t>
      </w:r>
      <w:r>
        <w:rPr>
          <w:rFonts w:ascii="Arial Narrow" w:eastAsia="Calibri" w:hAnsi="Arial Narrow"/>
          <w:sz w:val="22"/>
          <w:szCs w:val="22"/>
          <w:lang w:val="en-US" w:eastAsia="en-US"/>
        </w:rPr>
        <w:t xml:space="preserve">(only) </w:t>
      </w:r>
      <w:r w:rsidR="006E59DD" w:rsidRPr="006E59DD">
        <w:rPr>
          <w:rFonts w:ascii="Arial Narrow" w:eastAsia="Calibri" w:hAnsi="Arial Narrow"/>
          <w:sz w:val="22"/>
          <w:szCs w:val="22"/>
          <w:lang w:val="en-US" w:eastAsia="en-US"/>
        </w:rPr>
        <w:t xml:space="preserve">on </w:t>
      </w:r>
      <w:r>
        <w:rPr>
          <w:rFonts w:ascii="Arial Narrow" w:eastAsia="Calibri" w:hAnsi="Arial Narrow"/>
          <w:sz w:val="22"/>
          <w:szCs w:val="22"/>
          <w:lang w:val="en-US" w:eastAsia="en-US"/>
        </w:rPr>
        <w:t>I</w:t>
      </w:r>
      <w:r w:rsidR="006E59DD" w:rsidRPr="006E59DD">
        <w:rPr>
          <w:rFonts w:ascii="Arial Narrow" w:eastAsia="Calibri" w:hAnsi="Arial Narrow"/>
          <w:sz w:val="22"/>
          <w:szCs w:val="22"/>
          <w:lang w:val="en-US" w:eastAsia="en-US"/>
        </w:rPr>
        <w:t xml:space="preserve">nvestment </w:t>
      </w:r>
      <w:r>
        <w:rPr>
          <w:rFonts w:ascii="Arial Narrow" w:eastAsia="Calibri" w:hAnsi="Arial Narrow"/>
          <w:sz w:val="22"/>
          <w:szCs w:val="22"/>
          <w:lang w:val="en-US" w:eastAsia="en-US"/>
        </w:rPr>
        <w:t>F</w:t>
      </w:r>
      <w:r w:rsidR="006E59DD" w:rsidRPr="006E59DD">
        <w:rPr>
          <w:rFonts w:ascii="Arial Narrow" w:eastAsia="Calibri" w:hAnsi="Arial Narrow"/>
          <w:sz w:val="22"/>
          <w:szCs w:val="22"/>
          <w:lang w:val="en-US" w:eastAsia="en-US"/>
        </w:rPr>
        <w:t xml:space="preserve">unds. </w:t>
      </w:r>
    </w:p>
    <w:p w14:paraId="3AEE2A3A" w14:textId="77777777" w:rsidR="006E59DD" w:rsidRPr="006E59DD" w:rsidRDefault="006E59DD" w:rsidP="00E37100">
      <w:pPr>
        <w:pStyle w:val="Prrafodelista"/>
        <w:ind w:left="436"/>
        <w:rPr>
          <w:rFonts w:ascii="Arial Narrow" w:eastAsia="Calibri" w:hAnsi="Arial Narrow"/>
          <w:sz w:val="22"/>
          <w:szCs w:val="22"/>
          <w:lang w:val="en-US" w:eastAsia="en-US"/>
        </w:rPr>
      </w:pPr>
    </w:p>
    <w:p w14:paraId="5DD6D261" w14:textId="625DBB8E" w:rsidR="006E59DD" w:rsidRPr="006E59DD" w:rsidRDefault="006E59DD" w:rsidP="00057085">
      <w:pPr>
        <w:pStyle w:val="Prrafodelista"/>
        <w:numPr>
          <w:ilvl w:val="0"/>
          <w:numId w:val="41"/>
        </w:numPr>
        <w:tabs>
          <w:tab w:val="left" w:pos="-284"/>
        </w:tabs>
        <w:spacing w:after="160" w:line="259" w:lineRule="auto"/>
        <w:ind w:left="436" w:right="-284"/>
        <w:jc w:val="both"/>
        <w:rPr>
          <w:rFonts w:ascii="Arial Narrow" w:eastAsia="Calibri" w:hAnsi="Arial Narrow"/>
          <w:sz w:val="22"/>
          <w:szCs w:val="22"/>
          <w:lang w:val="en-US" w:eastAsia="en-US"/>
        </w:rPr>
      </w:pPr>
      <w:r w:rsidRPr="006E59DD">
        <w:rPr>
          <w:rFonts w:ascii="Arial Narrow" w:eastAsia="Calibri" w:hAnsi="Arial Narrow"/>
          <w:sz w:val="22"/>
          <w:szCs w:val="22"/>
          <w:lang w:val="en-US" w:eastAsia="en-US"/>
        </w:rPr>
        <w:t>Finally, a pre-condition for the ESMA Guidelines to have any success in terms of</w:t>
      </w:r>
      <w:r w:rsidR="00181223">
        <w:rPr>
          <w:rFonts w:ascii="Arial Narrow" w:eastAsia="Calibri" w:hAnsi="Arial Narrow"/>
          <w:sz w:val="22"/>
          <w:szCs w:val="22"/>
          <w:lang w:val="en-US" w:eastAsia="en-US"/>
        </w:rPr>
        <w:t xml:space="preserve"> standardization </w:t>
      </w:r>
      <w:r w:rsidRPr="006E59DD">
        <w:rPr>
          <w:rFonts w:ascii="Arial Narrow" w:eastAsia="Calibri" w:hAnsi="Arial Narrow"/>
          <w:sz w:val="22"/>
          <w:szCs w:val="22"/>
          <w:lang w:val="en-US" w:eastAsia="en-US"/>
        </w:rPr>
        <w:t xml:space="preserve">is that these are adopted by all ANCs, which appears to be unlikely. </w:t>
      </w:r>
    </w:p>
    <w:p w14:paraId="1551AEE1" w14:textId="64DC16CC" w:rsidR="006E59DD" w:rsidRPr="006E59DD" w:rsidRDefault="006E59DD" w:rsidP="00E37100">
      <w:pPr>
        <w:tabs>
          <w:tab w:val="left" w:pos="-284"/>
        </w:tabs>
        <w:ind w:right="-284"/>
        <w:jc w:val="both"/>
        <w:rPr>
          <w:rFonts w:ascii="Arial Narrow" w:eastAsia="Calibri" w:hAnsi="Arial Narrow"/>
          <w:sz w:val="22"/>
          <w:szCs w:val="22"/>
          <w:lang w:val="en-US" w:eastAsia="en-US"/>
        </w:rPr>
      </w:pPr>
      <w:r w:rsidRPr="006E59DD">
        <w:rPr>
          <w:rFonts w:ascii="Arial Narrow" w:eastAsia="Calibri" w:hAnsi="Arial Narrow"/>
          <w:sz w:val="22"/>
          <w:szCs w:val="22"/>
          <w:lang w:val="en-US" w:eastAsia="en-US"/>
        </w:rPr>
        <w:t xml:space="preserve">Should ESMA nevertheless decide to maintain the threshold approach </w:t>
      </w:r>
      <w:r w:rsidR="00181223">
        <w:rPr>
          <w:rFonts w:ascii="Arial Narrow" w:eastAsia="Calibri" w:hAnsi="Arial Narrow"/>
          <w:sz w:val="22"/>
          <w:szCs w:val="22"/>
          <w:lang w:val="en-US" w:eastAsia="en-US"/>
        </w:rPr>
        <w:t xml:space="preserve">for the naming of </w:t>
      </w:r>
      <w:r w:rsidRPr="006E59DD">
        <w:rPr>
          <w:rFonts w:ascii="Arial Narrow" w:eastAsia="Calibri" w:hAnsi="Arial Narrow"/>
          <w:sz w:val="22"/>
          <w:szCs w:val="22"/>
          <w:lang w:val="en-US" w:eastAsia="en-US"/>
        </w:rPr>
        <w:t>Fund</w:t>
      </w:r>
      <w:r w:rsidR="00181223">
        <w:rPr>
          <w:rFonts w:ascii="Arial Narrow" w:eastAsia="Calibri" w:hAnsi="Arial Narrow"/>
          <w:sz w:val="22"/>
          <w:szCs w:val="22"/>
          <w:lang w:val="en-US" w:eastAsia="en-US"/>
        </w:rPr>
        <w:t>s</w:t>
      </w:r>
      <w:r w:rsidRPr="006E59DD">
        <w:rPr>
          <w:rFonts w:ascii="Arial Narrow" w:eastAsia="Calibri" w:hAnsi="Arial Narrow"/>
          <w:sz w:val="22"/>
          <w:szCs w:val="22"/>
          <w:lang w:val="en-US" w:eastAsia="en-US"/>
        </w:rPr>
        <w:t xml:space="preserve">, it should seek a formula that minimizes divergencies, as well as the operational and reputational costs of implementation. In this regard, see answer to questions 2 and 5.  </w:t>
      </w:r>
    </w:p>
    <w:p w14:paraId="79AEA6D5" w14:textId="77777777" w:rsidR="006E59DD" w:rsidRDefault="006E59DD" w:rsidP="006E59DD">
      <w:pPr>
        <w:tabs>
          <w:tab w:val="left" w:pos="-284"/>
        </w:tabs>
        <w:ind w:left="284" w:right="-284"/>
        <w:jc w:val="both"/>
        <w:rPr>
          <w:rFonts w:ascii="Arial Narrow" w:hAnsi="Arial Narrow"/>
          <w:lang w:val="en-US"/>
        </w:rPr>
      </w:pPr>
    </w:p>
    <w:permEnd w:id="1596738700"/>
    <w:p w14:paraId="088B5A4D" w14:textId="77777777" w:rsidR="00B92885" w:rsidRDefault="00B92885" w:rsidP="00B92885">
      <w:r>
        <w:t>&lt;ESMA_QUESTION_FUNA_1&gt;</w:t>
      </w:r>
    </w:p>
    <w:p w14:paraId="651402EE" w14:textId="77777777" w:rsidR="00B92885" w:rsidRDefault="00B92885" w:rsidP="00B92885"/>
    <w:p w14:paraId="4BC13ED3" w14:textId="77777777" w:rsidR="00B92885" w:rsidRPr="00AA6F4F" w:rsidRDefault="00B92885" w:rsidP="00057085">
      <w:pPr>
        <w:pStyle w:val="Questionstyle"/>
        <w:numPr>
          <w:ilvl w:val="0"/>
          <w:numId w:val="37"/>
        </w:numPr>
      </w:pPr>
      <w:r>
        <w:t xml:space="preserve">: </w:t>
      </w:r>
      <w:bookmarkStart w:id="3" w:name="_Hlk119596330"/>
      <w:r w:rsidRPr="00AA6F4F">
        <w:t>Do you agree with the proposed threshold of 80% of the minimum proportion of investments for the use of any ESG-, or impact-related words in the name of a fund? If not, please explain why and provide an alternative proposal.</w:t>
      </w:r>
    </w:p>
    <w:bookmarkEnd w:id="3"/>
    <w:p w14:paraId="4F9400BD" w14:textId="77777777" w:rsidR="00B92885" w:rsidRDefault="00B92885" w:rsidP="00B92885">
      <w:r>
        <w:t>&lt;ESMA_QUESTION_FUNA_2&gt;</w:t>
      </w:r>
    </w:p>
    <w:p w14:paraId="2FEF488D" w14:textId="77777777" w:rsidR="00E37100" w:rsidRDefault="00E37100" w:rsidP="00E37100">
      <w:pPr>
        <w:tabs>
          <w:tab w:val="left" w:pos="-284"/>
        </w:tabs>
        <w:ind w:right="-284"/>
        <w:jc w:val="both"/>
        <w:rPr>
          <w:rFonts w:ascii="Arial Narrow" w:eastAsia="Calibri" w:hAnsi="Arial Narrow"/>
          <w:sz w:val="22"/>
          <w:szCs w:val="22"/>
          <w:lang w:val="en-US" w:eastAsia="en-US"/>
        </w:rPr>
      </w:pPr>
      <w:permStart w:id="1305634831" w:edGrp="everyone"/>
    </w:p>
    <w:p w14:paraId="7088A39C" w14:textId="37DAEC6A" w:rsidR="002401A7" w:rsidRPr="002401A7" w:rsidRDefault="002401A7" w:rsidP="00E37100">
      <w:pPr>
        <w:tabs>
          <w:tab w:val="left" w:pos="-284"/>
        </w:tabs>
        <w:ind w:right="-284"/>
        <w:jc w:val="both"/>
        <w:rPr>
          <w:rFonts w:ascii="Arial Narrow" w:eastAsia="Calibri" w:hAnsi="Arial Narrow"/>
          <w:sz w:val="22"/>
          <w:szCs w:val="22"/>
          <w:lang w:val="en-US" w:eastAsia="en-US"/>
        </w:rPr>
      </w:pPr>
      <w:r w:rsidRPr="002401A7">
        <w:rPr>
          <w:rFonts w:ascii="Arial Narrow" w:eastAsia="Calibri" w:hAnsi="Arial Narrow"/>
          <w:sz w:val="22"/>
          <w:szCs w:val="22"/>
          <w:lang w:val="en-US" w:eastAsia="en-US"/>
        </w:rPr>
        <w:t xml:space="preserve">No, and in addition to the above considerations on thresholds, the following should be </w:t>
      </w:r>
      <w:r w:rsidR="00181223">
        <w:rPr>
          <w:rFonts w:ascii="Arial Narrow" w:eastAsia="Calibri" w:hAnsi="Arial Narrow"/>
          <w:sz w:val="22"/>
          <w:szCs w:val="22"/>
          <w:lang w:val="en-US" w:eastAsia="en-US"/>
        </w:rPr>
        <w:t>noted</w:t>
      </w:r>
      <w:r w:rsidRPr="002401A7">
        <w:rPr>
          <w:rFonts w:ascii="Arial Narrow" w:eastAsia="Calibri" w:hAnsi="Arial Narrow"/>
          <w:sz w:val="22"/>
          <w:szCs w:val="22"/>
          <w:lang w:val="en-US" w:eastAsia="en-US"/>
        </w:rPr>
        <w:t>:</w:t>
      </w:r>
    </w:p>
    <w:p w14:paraId="20B48036" w14:textId="77777777" w:rsidR="002401A7" w:rsidRPr="002401A7" w:rsidRDefault="002401A7" w:rsidP="002401A7">
      <w:pPr>
        <w:tabs>
          <w:tab w:val="left" w:pos="-284"/>
        </w:tabs>
        <w:ind w:left="284" w:right="-284"/>
        <w:jc w:val="both"/>
        <w:rPr>
          <w:rFonts w:ascii="Arial Narrow" w:eastAsia="Calibri" w:hAnsi="Arial Narrow"/>
          <w:sz w:val="22"/>
          <w:szCs w:val="22"/>
          <w:lang w:val="en-US" w:eastAsia="en-US"/>
        </w:rPr>
      </w:pPr>
    </w:p>
    <w:p w14:paraId="44F99268" w14:textId="233AC927" w:rsidR="002401A7" w:rsidRPr="00F14C02" w:rsidRDefault="002401A7" w:rsidP="00057085">
      <w:pPr>
        <w:pStyle w:val="Prrafodelista"/>
        <w:numPr>
          <w:ilvl w:val="1"/>
          <w:numId w:val="48"/>
        </w:numPr>
        <w:tabs>
          <w:tab w:val="left" w:pos="-284"/>
        </w:tabs>
        <w:ind w:left="360" w:right="-284"/>
        <w:jc w:val="both"/>
        <w:rPr>
          <w:rFonts w:ascii="Arial Narrow" w:eastAsia="Calibri" w:hAnsi="Arial Narrow"/>
          <w:sz w:val="22"/>
          <w:szCs w:val="22"/>
          <w:lang w:val="en-US" w:eastAsia="en-US"/>
        </w:rPr>
      </w:pPr>
      <w:r w:rsidRPr="00F14C02">
        <w:rPr>
          <w:rFonts w:ascii="Arial Narrow" w:eastAsia="Calibri" w:hAnsi="Arial Narrow"/>
          <w:sz w:val="22"/>
          <w:szCs w:val="22"/>
          <w:lang w:val="en-US" w:eastAsia="en-US"/>
        </w:rPr>
        <w:t xml:space="preserve">In line with ESMA’s Supervisory Instructions of May 2022, it could be envisaged that the acronym ESG or similar could be used when the Fund's assets substantially support, with at least 50% of the investments, the sustainable investment characteristics or objective. In fact, the 50% threshold would be easier to understand to the average consumer, less arbitrary and possibly acceptable to the market in general. </w:t>
      </w:r>
    </w:p>
    <w:p w14:paraId="357267A3" w14:textId="77777777" w:rsidR="002401A7" w:rsidRPr="002401A7" w:rsidRDefault="002401A7" w:rsidP="00F14C02">
      <w:pPr>
        <w:tabs>
          <w:tab w:val="left" w:pos="-284"/>
        </w:tabs>
        <w:ind w:left="-3240" w:right="-284"/>
        <w:jc w:val="both"/>
        <w:rPr>
          <w:rFonts w:ascii="Arial Narrow" w:eastAsia="Calibri" w:hAnsi="Arial Narrow"/>
          <w:sz w:val="22"/>
          <w:szCs w:val="22"/>
          <w:lang w:val="en-US" w:eastAsia="en-US"/>
        </w:rPr>
      </w:pPr>
    </w:p>
    <w:p w14:paraId="00FEB97A" w14:textId="46330FC8" w:rsidR="002401A7" w:rsidRPr="00E37100" w:rsidRDefault="002401A7" w:rsidP="00057085">
      <w:pPr>
        <w:pStyle w:val="Prrafodelista"/>
        <w:numPr>
          <w:ilvl w:val="1"/>
          <w:numId w:val="48"/>
        </w:numPr>
        <w:tabs>
          <w:tab w:val="left" w:pos="-284"/>
        </w:tabs>
        <w:ind w:left="360" w:right="-284"/>
        <w:jc w:val="both"/>
        <w:rPr>
          <w:rFonts w:ascii="Arial Narrow" w:eastAsia="Calibri" w:hAnsi="Arial Narrow"/>
          <w:sz w:val="22"/>
          <w:szCs w:val="22"/>
          <w:lang w:val="en-US" w:eastAsia="en-US"/>
        </w:rPr>
      </w:pPr>
      <w:r w:rsidRPr="00E37100">
        <w:rPr>
          <w:rFonts w:ascii="Arial Narrow" w:eastAsia="Calibri" w:hAnsi="Arial Narrow"/>
          <w:sz w:val="22"/>
          <w:szCs w:val="22"/>
          <w:lang w:val="en-US" w:eastAsia="en-US"/>
        </w:rPr>
        <w:lastRenderedPageBreak/>
        <w:t>Moreover, if the 50% threshold has been proposed for the use of the term "sustainable" in "sustainable investments", the same should apply for the use of "ESG</w:t>
      </w:r>
      <w:r w:rsidR="00181223">
        <w:rPr>
          <w:rFonts w:ascii="Arial Narrow" w:eastAsia="Calibri" w:hAnsi="Arial Narrow"/>
          <w:sz w:val="22"/>
          <w:szCs w:val="22"/>
          <w:lang w:val="en-US" w:eastAsia="en-US"/>
        </w:rPr>
        <w:t>-</w:t>
      </w:r>
      <w:r w:rsidRPr="00E37100">
        <w:rPr>
          <w:rFonts w:ascii="Arial Narrow" w:eastAsia="Calibri" w:hAnsi="Arial Narrow"/>
          <w:sz w:val="22"/>
          <w:szCs w:val="22"/>
          <w:lang w:val="en-US" w:eastAsia="en-US"/>
        </w:rPr>
        <w:t xml:space="preserve">related" terms. </w:t>
      </w:r>
    </w:p>
    <w:p w14:paraId="471E27F4" w14:textId="77777777" w:rsidR="002401A7" w:rsidRPr="002401A7" w:rsidRDefault="002401A7" w:rsidP="00F14C02">
      <w:pPr>
        <w:tabs>
          <w:tab w:val="left" w:pos="-284"/>
        </w:tabs>
        <w:ind w:left="-5400" w:right="-284"/>
        <w:jc w:val="both"/>
        <w:rPr>
          <w:rFonts w:ascii="Arial Narrow" w:eastAsia="Calibri" w:hAnsi="Arial Narrow"/>
          <w:sz w:val="22"/>
          <w:szCs w:val="22"/>
          <w:lang w:val="en-US" w:eastAsia="en-US"/>
        </w:rPr>
      </w:pPr>
    </w:p>
    <w:p w14:paraId="6AEFA30A" w14:textId="0F54C3FF" w:rsidR="002401A7" w:rsidRPr="00E37100" w:rsidRDefault="002401A7" w:rsidP="00057085">
      <w:pPr>
        <w:pStyle w:val="Prrafodelista"/>
        <w:numPr>
          <w:ilvl w:val="1"/>
          <w:numId w:val="48"/>
        </w:numPr>
        <w:tabs>
          <w:tab w:val="left" w:pos="-284"/>
        </w:tabs>
        <w:ind w:left="360" w:right="-284"/>
        <w:jc w:val="both"/>
        <w:rPr>
          <w:rFonts w:ascii="Arial Narrow" w:eastAsia="Calibri" w:hAnsi="Arial Narrow"/>
          <w:sz w:val="22"/>
          <w:szCs w:val="22"/>
          <w:lang w:val="en-US" w:eastAsia="en-US"/>
        </w:rPr>
      </w:pPr>
      <w:r w:rsidRPr="00E37100">
        <w:rPr>
          <w:rFonts w:ascii="Arial Narrow" w:eastAsia="Calibri" w:hAnsi="Arial Narrow"/>
          <w:sz w:val="22"/>
          <w:szCs w:val="22"/>
          <w:lang w:val="en-US" w:eastAsia="en-US"/>
        </w:rPr>
        <w:t>The 80% threshold provides the market with a misleading signal: In particular, that the threshold is higher because of the lower credibility of the investments it refers to, even though they could be just as critical, if not more so, for the green transition.</w:t>
      </w:r>
    </w:p>
    <w:p w14:paraId="064EB56A" w14:textId="77777777" w:rsidR="002401A7" w:rsidRPr="002401A7" w:rsidRDefault="002401A7" w:rsidP="00F14C02">
      <w:pPr>
        <w:tabs>
          <w:tab w:val="left" w:pos="-284"/>
        </w:tabs>
        <w:ind w:left="-5400" w:right="-284"/>
        <w:jc w:val="both"/>
        <w:rPr>
          <w:rFonts w:ascii="Arial Narrow" w:eastAsia="Calibri" w:hAnsi="Arial Narrow"/>
          <w:sz w:val="22"/>
          <w:szCs w:val="22"/>
          <w:lang w:val="en-US" w:eastAsia="en-US"/>
        </w:rPr>
      </w:pPr>
    </w:p>
    <w:p w14:paraId="149263E0" w14:textId="77418CF0" w:rsidR="002401A7" w:rsidRPr="00E37100" w:rsidRDefault="002401A7" w:rsidP="00057085">
      <w:pPr>
        <w:pStyle w:val="Prrafodelista"/>
        <w:numPr>
          <w:ilvl w:val="1"/>
          <w:numId w:val="48"/>
        </w:numPr>
        <w:tabs>
          <w:tab w:val="left" w:pos="-284"/>
        </w:tabs>
        <w:ind w:left="360" w:right="-284"/>
        <w:jc w:val="both"/>
        <w:rPr>
          <w:rFonts w:ascii="Arial Narrow" w:eastAsia="Calibri" w:hAnsi="Arial Narrow"/>
          <w:sz w:val="22"/>
          <w:szCs w:val="22"/>
          <w:lang w:val="en-US" w:eastAsia="en-US"/>
        </w:rPr>
      </w:pPr>
      <w:r w:rsidRPr="00E37100">
        <w:rPr>
          <w:rFonts w:ascii="Arial Narrow" w:eastAsia="Calibri" w:hAnsi="Arial Narrow"/>
          <w:sz w:val="22"/>
          <w:szCs w:val="22"/>
          <w:lang w:val="en-US" w:eastAsia="en-US"/>
        </w:rPr>
        <w:t xml:space="preserve">It is not reasonable that a Fund that has e.g., 75% sustainable investments aimed at the development of technology and tools for the rationalization of water resources consumption cannot include the term "water" in its name (since most of its investments have to do with its protection). </w:t>
      </w:r>
      <w:r w:rsidR="004045B8">
        <w:rPr>
          <w:rFonts w:ascii="Arial Narrow" w:eastAsia="Calibri" w:hAnsi="Arial Narrow"/>
          <w:sz w:val="22"/>
          <w:szCs w:val="22"/>
          <w:lang w:val="en-US" w:eastAsia="en-US"/>
        </w:rPr>
        <w:t xml:space="preserve">Nor can we understand that a Fund an art. 9 SFDR Fund with </w:t>
      </w:r>
      <w:r w:rsidRPr="00E37100">
        <w:rPr>
          <w:rFonts w:ascii="Arial Narrow" w:eastAsia="Calibri" w:hAnsi="Arial Narrow"/>
          <w:sz w:val="22"/>
          <w:szCs w:val="22"/>
          <w:lang w:val="en-US" w:eastAsia="en-US"/>
        </w:rPr>
        <w:t>a commitment to make 75% of sustainable investments cannot use ESG terms in its name</w:t>
      </w:r>
      <w:r w:rsidR="004045B8">
        <w:rPr>
          <w:rFonts w:ascii="Arial Narrow" w:eastAsia="Calibri" w:hAnsi="Arial Narrow"/>
          <w:sz w:val="22"/>
          <w:szCs w:val="22"/>
          <w:lang w:val="en-US" w:eastAsia="en-US"/>
        </w:rPr>
        <w:t xml:space="preserve"> if </w:t>
      </w:r>
      <w:r w:rsidRPr="00E37100">
        <w:rPr>
          <w:rFonts w:ascii="Arial Narrow" w:eastAsia="Calibri" w:hAnsi="Arial Narrow"/>
          <w:sz w:val="22"/>
          <w:szCs w:val="22"/>
          <w:lang w:val="en-US" w:eastAsia="en-US"/>
        </w:rPr>
        <w:t xml:space="preserve">an </w:t>
      </w:r>
      <w:r w:rsidR="004045B8">
        <w:rPr>
          <w:rFonts w:ascii="Arial Narrow" w:eastAsia="Calibri" w:hAnsi="Arial Narrow"/>
          <w:sz w:val="22"/>
          <w:szCs w:val="22"/>
          <w:lang w:val="en-US" w:eastAsia="en-US"/>
        </w:rPr>
        <w:t xml:space="preserve">art. </w:t>
      </w:r>
      <w:r w:rsidRPr="00E37100">
        <w:rPr>
          <w:rFonts w:ascii="Arial Narrow" w:eastAsia="Calibri" w:hAnsi="Arial Narrow"/>
          <w:sz w:val="22"/>
          <w:szCs w:val="22"/>
          <w:lang w:val="en-US" w:eastAsia="en-US"/>
        </w:rPr>
        <w:t>8 SFDR Fund that meets the 80% threshold, with 0% sustainable investments, can</w:t>
      </w:r>
      <w:r w:rsidR="004045B8">
        <w:rPr>
          <w:rFonts w:ascii="Arial Narrow" w:eastAsia="Calibri" w:hAnsi="Arial Narrow"/>
          <w:sz w:val="22"/>
          <w:szCs w:val="22"/>
          <w:lang w:val="en-US" w:eastAsia="en-US"/>
        </w:rPr>
        <w:t xml:space="preserve"> do so</w:t>
      </w:r>
      <w:r w:rsidRPr="00E37100">
        <w:rPr>
          <w:rFonts w:ascii="Arial Narrow" w:eastAsia="Calibri" w:hAnsi="Arial Narrow"/>
          <w:sz w:val="22"/>
          <w:szCs w:val="22"/>
          <w:lang w:val="en-US" w:eastAsia="en-US"/>
        </w:rPr>
        <w:t>.</w:t>
      </w:r>
    </w:p>
    <w:p w14:paraId="4F0E3CF9" w14:textId="77777777" w:rsidR="002401A7" w:rsidRPr="002401A7" w:rsidRDefault="002401A7" w:rsidP="00E37100">
      <w:pPr>
        <w:tabs>
          <w:tab w:val="left" w:pos="-284"/>
        </w:tabs>
        <w:ind w:right="-284"/>
        <w:jc w:val="both"/>
        <w:rPr>
          <w:rFonts w:ascii="Arial Narrow" w:eastAsia="Calibri" w:hAnsi="Arial Narrow"/>
          <w:sz w:val="22"/>
          <w:szCs w:val="22"/>
          <w:lang w:val="en-US" w:eastAsia="en-US"/>
        </w:rPr>
      </w:pPr>
    </w:p>
    <w:p w14:paraId="2CD3E68D" w14:textId="52437762" w:rsidR="002401A7" w:rsidRDefault="002401A7" w:rsidP="00E37100">
      <w:pPr>
        <w:tabs>
          <w:tab w:val="left" w:pos="-284"/>
        </w:tabs>
        <w:ind w:right="-284"/>
        <w:jc w:val="both"/>
        <w:rPr>
          <w:rFonts w:ascii="Arial Narrow" w:eastAsia="Calibri" w:hAnsi="Arial Narrow"/>
          <w:sz w:val="22"/>
          <w:szCs w:val="22"/>
          <w:lang w:val="en-US" w:eastAsia="en-US"/>
        </w:rPr>
      </w:pPr>
      <w:r w:rsidRPr="002401A7">
        <w:rPr>
          <w:rFonts w:ascii="Arial Narrow" w:eastAsia="Calibri" w:hAnsi="Arial Narrow"/>
          <w:sz w:val="22"/>
          <w:szCs w:val="22"/>
          <w:lang w:val="en-US" w:eastAsia="en-US"/>
        </w:rPr>
        <w:t>Such a rule tends to produce arbitrary results without increasing</w:t>
      </w:r>
      <w:r w:rsidR="004045B8">
        <w:rPr>
          <w:rFonts w:ascii="Arial Narrow" w:eastAsia="Calibri" w:hAnsi="Arial Narrow"/>
          <w:sz w:val="22"/>
          <w:szCs w:val="22"/>
          <w:lang w:val="en-US" w:eastAsia="en-US"/>
        </w:rPr>
        <w:t xml:space="preserve"> </w:t>
      </w:r>
      <w:r w:rsidRPr="002401A7">
        <w:rPr>
          <w:rFonts w:ascii="Arial Narrow" w:eastAsia="Calibri" w:hAnsi="Arial Narrow"/>
          <w:sz w:val="22"/>
          <w:szCs w:val="22"/>
          <w:lang w:val="en-US" w:eastAsia="en-US"/>
        </w:rPr>
        <w:t xml:space="preserve">investor </w:t>
      </w:r>
      <w:r w:rsidR="004045B8" w:rsidRPr="002401A7">
        <w:rPr>
          <w:rFonts w:ascii="Arial Narrow" w:eastAsia="Calibri" w:hAnsi="Arial Narrow"/>
          <w:sz w:val="22"/>
          <w:szCs w:val="22"/>
          <w:lang w:val="en-US" w:eastAsia="en-US"/>
        </w:rPr>
        <w:t>protection</w:t>
      </w:r>
      <w:r w:rsidRPr="002401A7">
        <w:rPr>
          <w:rFonts w:ascii="Arial Narrow" w:eastAsia="Calibri" w:hAnsi="Arial Narrow"/>
          <w:sz w:val="22"/>
          <w:szCs w:val="22"/>
          <w:lang w:val="en-US" w:eastAsia="en-US"/>
        </w:rPr>
        <w:t>.</w:t>
      </w:r>
    </w:p>
    <w:p w14:paraId="704609ED" w14:textId="6CAC660D" w:rsidR="002401A7" w:rsidRPr="002401A7" w:rsidRDefault="002401A7" w:rsidP="00E37100">
      <w:pPr>
        <w:tabs>
          <w:tab w:val="left" w:pos="-284"/>
        </w:tabs>
        <w:ind w:right="-284"/>
        <w:jc w:val="both"/>
        <w:rPr>
          <w:rFonts w:ascii="Arial Narrow" w:eastAsia="Calibri" w:hAnsi="Arial Narrow"/>
          <w:sz w:val="22"/>
          <w:szCs w:val="22"/>
          <w:lang w:val="en-US" w:eastAsia="en-US"/>
        </w:rPr>
      </w:pPr>
      <w:r w:rsidRPr="002401A7">
        <w:rPr>
          <w:rFonts w:ascii="Arial Narrow" w:eastAsia="Calibri" w:hAnsi="Arial Narrow"/>
          <w:sz w:val="22"/>
          <w:szCs w:val="22"/>
          <w:lang w:val="en-US" w:eastAsia="en-US"/>
        </w:rPr>
        <w:t xml:space="preserve"> </w:t>
      </w:r>
    </w:p>
    <w:p w14:paraId="49F7B166" w14:textId="5840835E" w:rsidR="002401A7" w:rsidRDefault="002401A7" w:rsidP="00E37100">
      <w:pPr>
        <w:tabs>
          <w:tab w:val="left" w:pos="-284"/>
        </w:tabs>
        <w:ind w:right="-284"/>
        <w:jc w:val="both"/>
        <w:rPr>
          <w:rFonts w:ascii="Arial Narrow" w:eastAsia="Calibri" w:hAnsi="Arial Narrow"/>
          <w:sz w:val="22"/>
          <w:szCs w:val="22"/>
          <w:lang w:val="en-US" w:eastAsia="en-US"/>
        </w:rPr>
      </w:pPr>
      <w:r w:rsidRPr="002401A7">
        <w:rPr>
          <w:rFonts w:ascii="Arial Narrow" w:eastAsia="Calibri" w:hAnsi="Arial Narrow"/>
          <w:sz w:val="22"/>
          <w:szCs w:val="22"/>
          <w:lang w:val="en-US" w:eastAsia="en-US"/>
        </w:rPr>
        <w:t>Regarding the term “impact”, see question 10.</w:t>
      </w:r>
    </w:p>
    <w:p w14:paraId="3DFC8650" w14:textId="77777777" w:rsidR="002401A7" w:rsidRPr="002401A7" w:rsidRDefault="002401A7" w:rsidP="002401A7">
      <w:pPr>
        <w:tabs>
          <w:tab w:val="left" w:pos="-284"/>
        </w:tabs>
        <w:ind w:left="284" w:right="-284"/>
        <w:jc w:val="both"/>
        <w:rPr>
          <w:rFonts w:ascii="Arial Narrow" w:eastAsia="Calibri" w:hAnsi="Arial Narrow"/>
          <w:sz w:val="22"/>
          <w:szCs w:val="22"/>
          <w:lang w:val="en-US" w:eastAsia="en-US"/>
        </w:rPr>
      </w:pPr>
    </w:p>
    <w:p w14:paraId="7BED3590" w14:textId="1DC2AE8E" w:rsidR="00B92885" w:rsidRDefault="00B92885" w:rsidP="00B92885"/>
    <w:permEnd w:id="1305634831"/>
    <w:p w14:paraId="562CCC86" w14:textId="77777777" w:rsidR="00B92885" w:rsidRDefault="00B92885" w:rsidP="00B92885">
      <w:r>
        <w:t>&lt;ESMA_QUESTION_FUNA_2&gt;</w:t>
      </w:r>
    </w:p>
    <w:p w14:paraId="0FAF0A39" w14:textId="77777777" w:rsidR="00B92885" w:rsidRDefault="00B92885" w:rsidP="00B92885"/>
    <w:p w14:paraId="4927E281" w14:textId="77777777" w:rsidR="00B92885" w:rsidRDefault="00B92885" w:rsidP="00057085">
      <w:pPr>
        <w:pStyle w:val="Questionstyle"/>
        <w:numPr>
          <w:ilvl w:val="0"/>
          <w:numId w:val="37"/>
        </w:numPr>
      </w:pPr>
      <w:r>
        <w:t xml:space="preserve">: </w:t>
      </w:r>
      <w:r w:rsidRPr="00AA6F4F">
        <w:t>Do you agree to include an additional threshold of at least 50% of minimum proportion of sustainable investments for the use of the word “sustainable” or any other sustainability-related term in the name of the fund? If not, please explain why and provide an alternative proposal.</w:t>
      </w:r>
    </w:p>
    <w:p w14:paraId="1A2958BD" w14:textId="77777777" w:rsidR="00B92885" w:rsidRDefault="00B92885" w:rsidP="00B92885">
      <w:r>
        <w:t>&lt;ESMA_QUESTION_FUNA_3&gt;</w:t>
      </w:r>
    </w:p>
    <w:p w14:paraId="0EA3104E" w14:textId="77777777" w:rsidR="00E37100" w:rsidRDefault="00E37100" w:rsidP="002401A7">
      <w:pPr>
        <w:tabs>
          <w:tab w:val="left" w:pos="-284"/>
        </w:tabs>
        <w:ind w:left="284" w:right="-284"/>
        <w:jc w:val="both"/>
        <w:rPr>
          <w:rFonts w:ascii="Arial Narrow" w:eastAsia="Calibri" w:hAnsi="Arial Narrow"/>
          <w:sz w:val="22"/>
          <w:szCs w:val="22"/>
          <w:lang w:val="en-US" w:eastAsia="en-US"/>
        </w:rPr>
      </w:pPr>
      <w:permStart w:id="347949177" w:edGrp="everyone"/>
    </w:p>
    <w:p w14:paraId="06AB447A" w14:textId="578118D9" w:rsidR="002401A7" w:rsidRDefault="002401A7" w:rsidP="00E37100">
      <w:pPr>
        <w:tabs>
          <w:tab w:val="left" w:pos="-284"/>
        </w:tabs>
        <w:ind w:right="-284"/>
        <w:jc w:val="both"/>
        <w:rPr>
          <w:rFonts w:ascii="Arial Narrow" w:eastAsia="Calibri" w:hAnsi="Arial Narrow"/>
          <w:sz w:val="22"/>
          <w:szCs w:val="22"/>
          <w:lang w:val="en-US" w:eastAsia="en-US"/>
        </w:rPr>
      </w:pPr>
      <w:r w:rsidRPr="002401A7">
        <w:rPr>
          <w:rFonts w:ascii="Arial Narrow" w:eastAsia="Calibri" w:hAnsi="Arial Narrow"/>
          <w:sz w:val="22"/>
          <w:szCs w:val="22"/>
          <w:lang w:val="en-US" w:eastAsia="en-US"/>
        </w:rPr>
        <w:t xml:space="preserve">INVERCO does not consider it appropriate for the thresholds to work in an additive manner. </w:t>
      </w:r>
    </w:p>
    <w:p w14:paraId="658DA9D2" w14:textId="77777777" w:rsidR="002401A7" w:rsidRPr="002401A7" w:rsidRDefault="002401A7" w:rsidP="00E37100">
      <w:pPr>
        <w:tabs>
          <w:tab w:val="left" w:pos="-284"/>
        </w:tabs>
        <w:ind w:right="-284"/>
        <w:jc w:val="both"/>
        <w:rPr>
          <w:rFonts w:ascii="Arial Narrow" w:eastAsia="Calibri" w:hAnsi="Arial Narrow"/>
          <w:sz w:val="22"/>
          <w:szCs w:val="22"/>
          <w:lang w:val="en-US" w:eastAsia="en-US"/>
        </w:rPr>
      </w:pPr>
    </w:p>
    <w:p w14:paraId="736EBEEE" w14:textId="5F12AD04" w:rsidR="002401A7" w:rsidRDefault="002401A7" w:rsidP="00E37100">
      <w:pPr>
        <w:tabs>
          <w:tab w:val="left" w:pos="-284"/>
        </w:tabs>
        <w:ind w:right="-284"/>
        <w:jc w:val="both"/>
        <w:rPr>
          <w:rFonts w:ascii="Arial Narrow" w:eastAsia="Calibri" w:hAnsi="Arial Narrow"/>
          <w:sz w:val="22"/>
          <w:szCs w:val="22"/>
          <w:lang w:val="en-US" w:eastAsia="en-US"/>
        </w:rPr>
      </w:pPr>
      <w:r w:rsidRPr="002401A7">
        <w:rPr>
          <w:rFonts w:ascii="Arial Narrow" w:eastAsia="Calibri" w:hAnsi="Arial Narrow"/>
          <w:sz w:val="22"/>
          <w:szCs w:val="22"/>
          <w:lang w:val="en-US" w:eastAsia="en-US"/>
        </w:rPr>
        <w:t xml:space="preserve">It would be more logical for them to operate independently and on the assumption that the product exceeding the "sustainable investments" threshold can also make use of the acronym "ESG" or related terms, in accordance with the general principle </w:t>
      </w:r>
      <w:r w:rsidRPr="002401A7">
        <w:rPr>
          <w:rFonts w:ascii="Arial Narrow" w:eastAsia="Calibri" w:hAnsi="Arial Narrow"/>
          <w:i/>
          <w:iCs/>
          <w:sz w:val="22"/>
          <w:szCs w:val="22"/>
          <w:lang w:val="en-US" w:eastAsia="en-US"/>
        </w:rPr>
        <w:t>"Qui potest plus, potest minus"</w:t>
      </w:r>
      <w:r w:rsidRPr="002401A7">
        <w:rPr>
          <w:rFonts w:ascii="Arial Narrow" w:eastAsia="Calibri" w:hAnsi="Arial Narrow"/>
          <w:sz w:val="22"/>
          <w:szCs w:val="22"/>
          <w:lang w:val="en-US" w:eastAsia="en-US"/>
        </w:rPr>
        <w:t xml:space="preserve"> ("</w:t>
      </w:r>
      <w:r w:rsidR="004045B8" w:rsidRPr="004045B8">
        <w:rPr>
          <w:rFonts w:ascii="Arial Narrow" w:eastAsia="Calibri" w:hAnsi="Arial Narrow"/>
          <w:i/>
          <w:iCs/>
          <w:sz w:val="22"/>
          <w:szCs w:val="22"/>
          <w:lang w:val="en-US" w:eastAsia="en-US"/>
        </w:rPr>
        <w:t>he who can do more can do less</w:t>
      </w:r>
      <w:r w:rsidRPr="002401A7">
        <w:rPr>
          <w:rFonts w:ascii="Arial Narrow" w:eastAsia="Calibri" w:hAnsi="Arial Narrow"/>
          <w:sz w:val="22"/>
          <w:szCs w:val="22"/>
          <w:lang w:val="en-US" w:eastAsia="en-US"/>
        </w:rPr>
        <w:t>").</w:t>
      </w:r>
    </w:p>
    <w:p w14:paraId="3DFF2D3D" w14:textId="77777777" w:rsidR="002401A7" w:rsidRPr="002401A7" w:rsidRDefault="002401A7" w:rsidP="00E37100">
      <w:pPr>
        <w:tabs>
          <w:tab w:val="left" w:pos="-284"/>
        </w:tabs>
        <w:ind w:right="-284"/>
        <w:jc w:val="both"/>
        <w:rPr>
          <w:rFonts w:ascii="Arial Narrow" w:eastAsia="Calibri" w:hAnsi="Arial Narrow"/>
          <w:sz w:val="22"/>
          <w:szCs w:val="22"/>
          <w:lang w:val="en-US" w:eastAsia="en-US"/>
        </w:rPr>
      </w:pPr>
    </w:p>
    <w:p w14:paraId="5738105D" w14:textId="77777777" w:rsidR="002401A7" w:rsidRDefault="002401A7" w:rsidP="00E37100">
      <w:pPr>
        <w:tabs>
          <w:tab w:val="left" w:pos="-284"/>
        </w:tabs>
        <w:ind w:right="-284"/>
        <w:jc w:val="both"/>
        <w:rPr>
          <w:rFonts w:ascii="Arial Narrow" w:eastAsia="Calibri" w:hAnsi="Arial Narrow"/>
          <w:sz w:val="22"/>
          <w:szCs w:val="22"/>
          <w:lang w:val="en-US" w:eastAsia="en-US"/>
        </w:rPr>
      </w:pPr>
      <w:r w:rsidRPr="002401A7">
        <w:rPr>
          <w:rFonts w:ascii="Arial Narrow" w:eastAsia="Calibri" w:hAnsi="Arial Narrow"/>
          <w:sz w:val="22"/>
          <w:szCs w:val="22"/>
          <w:lang w:val="en-US" w:eastAsia="en-US"/>
        </w:rPr>
        <w:t>In any case, ESMA should review the wording of the proposed Guidelines to clarify whether these are thresholds that operate in an additional (achievement of a threshold conditional on meeting a previous threshold) or an independent way.</w:t>
      </w:r>
    </w:p>
    <w:p w14:paraId="7A9F9CA7" w14:textId="01774253" w:rsidR="002401A7" w:rsidRPr="002401A7" w:rsidRDefault="002401A7" w:rsidP="00E37100">
      <w:pPr>
        <w:tabs>
          <w:tab w:val="left" w:pos="-284"/>
        </w:tabs>
        <w:ind w:right="-284"/>
        <w:jc w:val="both"/>
        <w:rPr>
          <w:rFonts w:ascii="Arial Narrow" w:eastAsia="Calibri" w:hAnsi="Arial Narrow"/>
          <w:sz w:val="22"/>
          <w:szCs w:val="22"/>
          <w:lang w:val="en-US" w:eastAsia="en-US"/>
        </w:rPr>
      </w:pPr>
      <w:r w:rsidRPr="002401A7">
        <w:rPr>
          <w:rFonts w:ascii="Arial Narrow" w:eastAsia="Calibri" w:hAnsi="Arial Narrow"/>
          <w:sz w:val="22"/>
          <w:szCs w:val="22"/>
          <w:lang w:val="en-US" w:eastAsia="en-US"/>
        </w:rPr>
        <w:t xml:space="preserve"> </w:t>
      </w:r>
    </w:p>
    <w:p w14:paraId="5849BDF5" w14:textId="1CD8B20E" w:rsidR="002401A7" w:rsidRDefault="002401A7" w:rsidP="00E37100">
      <w:pPr>
        <w:tabs>
          <w:tab w:val="left" w:pos="-284"/>
        </w:tabs>
        <w:ind w:right="-284"/>
        <w:jc w:val="both"/>
        <w:rPr>
          <w:rFonts w:ascii="Arial Narrow" w:eastAsia="Calibri" w:hAnsi="Arial Narrow"/>
          <w:sz w:val="22"/>
          <w:szCs w:val="22"/>
          <w:lang w:val="en-US" w:eastAsia="en-US"/>
        </w:rPr>
      </w:pPr>
      <w:r w:rsidRPr="002401A7">
        <w:rPr>
          <w:rFonts w:ascii="Arial Narrow" w:eastAsia="Calibri" w:hAnsi="Arial Narrow"/>
          <w:sz w:val="22"/>
          <w:szCs w:val="22"/>
          <w:lang w:val="en-US" w:eastAsia="en-US"/>
        </w:rPr>
        <w:t>If they end up being additional to each other, it would also be desirable to expressly clarify whether the 50% percentage would apply to the total value of the investments or to the value resulting from applying the first percentage (i.e. 50% of 80%, which would be equivalent in absolute terms to 40% of the value of the investments).</w:t>
      </w:r>
    </w:p>
    <w:p w14:paraId="4033821A" w14:textId="77777777" w:rsidR="002401A7" w:rsidRPr="002401A7" w:rsidRDefault="002401A7" w:rsidP="00E37100">
      <w:pPr>
        <w:tabs>
          <w:tab w:val="left" w:pos="-284"/>
        </w:tabs>
        <w:ind w:right="-284"/>
        <w:jc w:val="both"/>
        <w:rPr>
          <w:rFonts w:ascii="Arial Narrow" w:eastAsia="Calibri" w:hAnsi="Arial Narrow"/>
          <w:sz w:val="22"/>
          <w:szCs w:val="22"/>
          <w:lang w:val="en-US" w:eastAsia="en-US"/>
        </w:rPr>
      </w:pPr>
    </w:p>
    <w:p w14:paraId="2009539F" w14:textId="1478314A" w:rsidR="002401A7" w:rsidRDefault="002401A7" w:rsidP="00E37100">
      <w:pPr>
        <w:tabs>
          <w:tab w:val="left" w:pos="-284"/>
        </w:tabs>
        <w:ind w:right="-284"/>
        <w:jc w:val="both"/>
        <w:rPr>
          <w:rFonts w:ascii="Arial Narrow" w:eastAsia="Calibri" w:hAnsi="Arial Narrow"/>
          <w:sz w:val="22"/>
          <w:szCs w:val="22"/>
          <w:lang w:val="en-US" w:eastAsia="en-US"/>
        </w:rPr>
      </w:pPr>
      <w:r w:rsidRPr="002401A7">
        <w:rPr>
          <w:rFonts w:ascii="Arial Narrow" w:eastAsia="Calibri" w:hAnsi="Arial Narrow"/>
          <w:sz w:val="22"/>
          <w:szCs w:val="22"/>
          <w:lang w:val="en-US" w:eastAsia="en-US"/>
        </w:rPr>
        <w:t xml:space="preserve">On the other hand, the use of terms such as "sustainable" or "sustainability" in the Fund name cannot be subject to the realization of the "sustainable investments" referred to in </w:t>
      </w:r>
      <w:r w:rsidR="00EA1652">
        <w:rPr>
          <w:rFonts w:ascii="Arial Narrow" w:eastAsia="Calibri" w:hAnsi="Arial Narrow"/>
          <w:sz w:val="22"/>
          <w:szCs w:val="22"/>
          <w:lang w:val="en-US" w:eastAsia="en-US"/>
        </w:rPr>
        <w:t xml:space="preserve">art. </w:t>
      </w:r>
      <w:r w:rsidRPr="002401A7">
        <w:rPr>
          <w:rFonts w:ascii="Arial Narrow" w:eastAsia="Calibri" w:hAnsi="Arial Narrow"/>
          <w:sz w:val="22"/>
          <w:szCs w:val="22"/>
          <w:lang w:val="en-US" w:eastAsia="en-US"/>
        </w:rPr>
        <w:t xml:space="preserve">2.17 of SFDR exclusively, since this is just one of the various approaches to sustainability </w:t>
      </w:r>
      <w:r w:rsidR="00EA1652">
        <w:rPr>
          <w:rFonts w:ascii="Arial Narrow" w:eastAsia="Calibri" w:hAnsi="Arial Narrow"/>
          <w:sz w:val="22"/>
          <w:szCs w:val="22"/>
          <w:lang w:val="en-US" w:eastAsia="en-US"/>
        </w:rPr>
        <w:t xml:space="preserve">provided by </w:t>
      </w:r>
      <w:r w:rsidRPr="002401A7">
        <w:rPr>
          <w:rFonts w:ascii="Arial Narrow" w:eastAsia="Calibri" w:hAnsi="Arial Narrow"/>
          <w:sz w:val="22"/>
          <w:szCs w:val="22"/>
          <w:lang w:val="en-US" w:eastAsia="en-US"/>
        </w:rPr>
        <w:t>applicable regulations</w:t>
      </w:r>
      <w:r w:rsidR="00EA1652">
        <w:rPr>
          <w:rFonts w:ascii="Arial Narrow" w:eastAsia="Calibri" w:hAnsi="Arial Narrow"/>
          <w:sz w:val="22"/>
          <w:szCs w:val="22"/>
          <w:lang w:val="en-US" w:eastAsia="en-US"/>
        </w:rPr>
        <w:t>. Furthermore, sustainable investment is a</w:t>
      </w:r>
      <w:r w:rsidRPr="002401A7">
        <w:rPr>
          <w:rFonts w:ascii="Arial Narrow" w:eastAsia="Calibri" w:hAnsi="Arial Narrow"/>
          <w:sz w:val="22"/>
          <w:szCs w:val="22"/>
          <w:lang w:val="en-US" w:eastAsia="en-US"/>
        </w:rPr>
        <w:t xml:space="preserve"> concept pending harmonization.</w:t>
      </w:r>
    </w:p>
    <w:p w14:paraId="5890A719" w14:textId="77777777" w:rsidR="002401A7" w:rsidRPr="002401A7" w:rsidRDefault="002401A7" w:rsidP="00E37100">
      <w:pPr>
        <w:tabs>
          <w:tab w:val="left" w:pos="-284"/>
        </w:tabs>
        <w:ind w:right="-284"/>
        <w:jc w:val="both"/>
        <w:rPr>
          <w:rFonts w:ascii="Arial Narrow" w:eastAsia="Calibri" w:hAnsi="Arial Narrow"/>
          <w:sz w:val="22"/>
          <w:szCs w:val="22"/>
          <w:lang w:val="en-US" w:eastAsia="en-US"/>
        </w:rPr>
      </w:pPr>
    </w:p>
    <w:p w14:paraId="20D9B8A8" w14:textId="24F13A03" w:rsidR="002401A7" w:rsidRPr="002401A7" w:rsidRDefault="00EA1652" w:rsidP="00E37100">
      <w:pPr>
        <w:tabs>
          <w:tab w:val="left" w:pos="-284"/>
        </w:tabs>
        <w:ind w:right="-284"/>
        <w:jc w:val="both"/>
        <w:rPr>
          <w:rFonts w:ascii="Arial Narrow" w:eastAsia="Calibri" w:hAnsi="Arial Narrow"/>
          <w:sz w:val="22"/>
          <w:szCs w:val="22"/>
          <w:lang w:val="en-US" w:eastAsia="en-US"/>
        </w:rPr>
      </w:pPr>
      <w:r>
        <w:rPr>
          <w:rFonts w:ascii="Arial Narrow" w:eastAsia="Calibri" w:hAnsi="Arial Narrow"/>
          <w:sz w:val="22"/>
          <w:szCs w:val="22"/>
          <w:lang w:val="en-US" w:eastAsia="en-US"/>
        </w:rPr>
        <w:t>Therefore, i</w:t>
      </w:r>
      <w:r w:rsidR="002401A7" w:rsidRPr="002401A7">
        <w:rPr>
          <w:rFonts w:ascii="Arial Narrow" w:eastAsia="Calibri" w:hAnsi="Arial Narrow"/>
          <w:sz w:val="22"/>
          <w:szCs w:val="22"/>
          <w:lang w:val="en-US" w:eastAsia="en-US"/>
        </w:rPr>
        <w:t xml:space="preserve">n order not to undermine the credibility of sustainable finance, the definition of "sustainability preferences" contained in the Commission's Delegated Regulation (EU) 2021/1253 of April 21, 2021, must be considered so that investments aligned with the Taxonomy or those </w:t>
      </w:r>
      <w:r>
        <w:rPr>
          <w:rFonts w:ascii="Arial Narrow" w:eastAsia="Calibri" w:hAnsi="Arial Narrow"/>
          <w:sz w:val="22"/>
          <w:szCs w:val="22"/>
          <w:lang w:val="en-US" w:eastAsia="en-US"/>
        </w:rPr>
        <w:t xml:space="preserve">taking PIAS </w:t>
      </w:r>
      <w:r w:rsidR="002401A7" w:rsidRPr="002401A7">
        <w:rPr>
          <w:rFonts w:ascii="Arial Narrow" w:eastAsia="Calibri" w:hAnsi="Arial Narrow"/>
          <w:sz w:val="22"/>
          <w:szCs w:val="22"/>
          <w:lang w:val="en-US" w:eastAsia="en-US"/>
        </w:rPr>
        <w:t xml:space="preserve">into consideration </w:t>
      </w:r>
      <w:r>
        <w:rPr>
          <w:rFonts w:ascii="Arial Narrow" w:eastAsia="Calibri" w:hAnsi="Arial Narrow"/>
          <w:sz w:val="22"/>
          <w:szCs w:val="22"/>
          <w:lang w:val="en-US" w:eastAsia="en-US"/>
        </w:rPr>
        <w:t>are al</w:t>
      </w:r>
      <w:r w:rsidR="002401A7" w:rsidRPr="002401A7">
        <w:rPr>
          <w:rFonts w:ascii="Arial Narrow" w:eastAsia="Calibri" w:hAnsi="Arial Narrow"/>
          <w:sz w:val="22"/>
          <w:szCs w:val="22"/>
          <w:lang w:val="en-US" w:eastAsia="en-US"/>
        </w:rPr>
        <w:t xml:space="preserve">so </w:t>
      </w:r>
      <w:r>
        <w:rPr>
          <w:rFonts w:ascii="Arial Narrow" w:eastAsia="Calibri" w:hAnsi="Arial Narrow"/>
          <w:sz w:val="22"/>
          <w:szCs w:val="22"/>
          <w:lang w:val="en-US" w:eastAsia="en-US"/>
        </w:rPr>
        <w:t xml:space="preserve">deemed </w:t>
      </w:r>
      <w:r w:rsidR="002401A7" w:rsidRPr="002401A7">
        <w:rPr>
          <w:rFonts w:ascii="Arial Narrow" w:eastAsia="Calibri" w:hAnsi="Arial Narrow"/>
          <w:sz w:val="22"/>
          <w:szCs w:val="22"/>
          <w:lang w:val="en-US" w:eastAsia="en-US"/>
        </w:rPr>
        <w:t>sustainable.</w:t>
      </w:r>
    </w:p>
    <w:p w14:paraId="72DC8EFB" w14:textId="77777777" w:rsidR="004045B8" w:rsidRDefault="004045B8" w:rsidP="004045B8">
      <w:pPr>
        <w:tabs>
          <w:tab w:val="left" w:pos="-284"/>
        </w:tabs>
        <w:ind w:right="-284"/>
        <w:jc w:val="both"/>
        <w:rPr>
          <w:rFonts w:ascii="Arial Narrow" w:eastAsia="Calibri" w:hAnsi="Arial Narrow"/>
          <w:sz w:val="22"/>
          <w:szCs w:val="22"/>
          <w:lang w:val="en-US" w:eastAsia="en-US"/>
        </w:rPr>
      </w:pPr>
    </w:p>
    <w:p w14:paraId="5B8DB9DB" w14:textId="2203BEE0" w:rsidR="002401A7" w:rsidRDefault="002401A7" w:rsidP="004045B8">
      <w:pPr>
        <w:tabs>
          <w:tab w:val="left" w:pos="-284"/>
        </w:tabs>
        <w:ind w:right="-284"/>
        <w:jc w:val="both"/>
        <w:rPr>
          <w:rFonts w:ascii="Arial Narrow" w:eastAsia="Calibri" w:hAnsi="Arial Narrow"/>
          <w:sz w:val="22"/>
          <w:szCs w:val="22"/>
          <w:lang w:val="en-US" w:eastAsia="en-US"/>
        </w:rPr>
      </w:pPr>
      <w:r w:rsidRPr="002401A7">
        <w:rPr>
          <w:rFonts w:ascii="Arial Narrow" w:eastAsia="Calibri" w:hAnsi="Arial Narrow"/>
          <w:sz w:val="22"/>
          <w:szCs w:val="22"/>
          <w:lang w:val="en-US" w:eastAsia="en-US"/>
        </w:rPr>
        <w:t xml:space="preserve">In this sense, and in order not to further confuse the retail investor, ESMA Guidelines should not identify as "non-sustainable" those products that </w:t>
      </w:r>
      <w:r w:rsidR="00EA1652">
        <w:rPr>
          <w:rFonts w:ascii="Arial Narrow" w:eastAsia="Calibri" w:hAnsi="Arial Narrow"/>
          <w:sz w:val="22"/>
          <w:szCs w:val="22"/>
          <w:lang w:val="en-US" w:eastAsia="en-US"/>
        </w:rPr>
        <w:t xml:space="preserve">must </w:t>
      </w:r>
      <w:r w:rsidRPr="002401A7">
        <w:rPr>
          <w:rFonts w:ascii="Arial Narrow" w:eastAsia="Calibri" w:hAnsi="Arial Narrow"/>
          <w:sz w:val="22"/>
          <w:szCs w:val="22"/>
          <w:lang w:val="en-US" w:eastAsia="en-US"/>
        </w:rPr>
        <w:t xml:space="preserve">be offered to clients who have opted for </w:t>
      </w:r>
      <w:r w:rsidR="00EA1652">
        <w:rPr>
          <w:rFonts w:ascii="Arial Narrow" w:eastAsia="Calibri" w:hAnsi="Arial Narrow"/>
          <w:sz w:val="22"/>
          <w:szCs w:val="22"/>
          <w:lang w:val="en-US" w:eastAsia="en-US"/>
        </w:rPr>
        <w:t xml:space="preserve">a </w:t>
      </w:r>
      <w:r w:rsidRPr="002401A7">
        <w:rPr>
          <w:rFonts w:ascii="Arial Narrow" w:eastAsia="Calibri" w:hAnsi="Arial Narrow"/>
          <w:sz w:val="22"/>
          <w:szCs w:val="22"/>
          <w:lang w:val="en-US" w:eastAsia="en-US"/>
        </w:rPr>
        <w:t xml:space="preserve">PIAS or Taxonomy </w:t>
      </w:r>
      <w:r w:rsidR="00EA1652">
        <w:rPr>
          <w:rFonts w:ascii="Arial Narrow" w:eastAsia="Calibri" w:hAnsi="Arial Narrow"/>
          <w:sz w:val="22"/>
          <w:szCs w:val="22"/>
          <w:lang w:val="en-US" w:eastAsia="en-US"/>
        </w:rPr>
        <w:t xml:space="preserve">alignment approach </w:t>
      </w:r>
      <w:r w:rsidRPr="002401A7">
        <w:rPr>
          <w:rFonts w:ascii="Arial Narrow" w:eastAsia="Calibri" w:hAnsi="Arial Narrow"/>
          <w:sz w:val="22"/>
          <w:szCs w:val="22"/>
          <w:lang w:val="en-US" w:eastAsia="en-US"/>
        </w:rPr>
        <w:t xml:space="preserve">when disclosing their "sustainability preferences" in the MiFID suitability test. </w:t>
      </w:r>
    </w:p>
    <w:p w14:paraId="1AD92909" w14:textId="77777777" w:rsidR="00E37100" w:rsidRPr="002401A7" w:rsidRDefault="00E37100" w:rsidP="002401A7">
      <w:pPr>
        <w:tabs>
          <w:tab w:val="left" w:pos="-284"/>
        </w:tabs>
        <w:ind w:left="284" w:right="-284"/>
        <w:jc w:val="both"/>
        <w:rPr>
          <w:rFonts w:ascii="Arial Narrow" w:eastAsia="Calibri" w:hAnsi="Arial Narrow"/>
          <w:sz w:val="22"/>
          <w:szCs w:val="22"/>
          <w:lang w:val="en-US" w:eastAsia="en-US"/>
        </w:rPr>
      </w:pPr>
    </w:p>
    <w:permEnd w:id="347949177"/>
    <w:p w14:paraId="4C140ACE" w14:textId="77777777" w:rsidR="00B92885" w:rsidRDefault="00B92885" w:rsidP="00B92885">
      <w:r>
        <w:t>&lt;ESMA_QUESTION_FUNA_3&gt;</w:t>
      </w:r>
    </w:p>
    <w:p w14:paraId="37EF5282" w14:textId="77777777" w:rsidR="00B92885" w:rsidRDefault="00B92885" w:rsidP="00B92885"/>
    <w:p w14:paraId="733D1E9D" w14:textId="77777777" w:rsidR="00B92885" w:rsidRDefault="00B92885" w:rsidP="00057085">
      <w:pPr>
        <w:pStyle w:val="Questionstyle"/>
        <w:numPr>
          <w:ilvl w:val="0"/>
          <w:numId w:val="37"/>
        </w:numPr>
      </w:pPr>
      <w:r>
        <w:t xml:space="preserve">: </w:t>
      </w:r>
      <w:r w:rsidRPr="00AA6F4F">
        <w:t>Do you think that there are alternative ways to construct the threshold mechanism? If yes, please explain your alternative proposal.</w:t>
      </w:r>
    </w:p>
    <w:p w14:paraId="0ACC61A1" w14:textId="77777777" w:rsidR="00B92885" w:rsidRDefault="00B92885" w:rsidP="00B92885">
      <w:r>
        <w:t>&lt;ESMA_QUESTION_FUNA_4&gt;</w:t>
      </w:r>
    </w:p>
    <w:p w14:paraId="49B182C1" w14:textId="77777777" w:rsidR="00E37100" w:rsidRDefault="00E37100" w:rsidP="002401A7">
      <w:pPr>
        <w:rPr>
          <w:lang w:val="en-US"/>
        </w:rPr>
      </w:pPr>
      <w:permStart w:id="351877901" w:edGrp="everyone"/>
    </w:p>
    <w:p w14:paraId="2F0CCC21" w14:textId="39F20B31" w:rsidR="002401A7" w:rsidRPr="00E37100" w:rsidRDefault="002401A7" w:rsidP="00E37100">
      <w:pPr>
        <w:tabs>
          <w:tab w:val="left" w:pos="-284"/>
        </w:tabs>
        <w:ind w:right="-284"/>
        <w:jc w:val="both"/>
        <w:rPr>
          <w:rFonts w:ascii="Arial Narrow" w:eastAsia="Calibri" w:hAnsi="Arial Narrow"/>
          <w:sz w:val="22"/>
          <w:szCs w:val="22"/>
          <w:lang w:val="en-US" w:eastAsia="en-US"/>
        </w:rPr>
      </w:pPr>
      <w:r w:rsidRPr="002401A7">
        <w:rPr>
          <w:rFonts w:ascii="Arial Narrow" w:eastAsia="Calibri" w:hAnsi="Arial Narrow"/>
          <w:sz w:val="22"/>
          <w:szCs w:val="22"/>
          <w:lang w:val="en-US" w:eastAsia="en-US"/>
        </w:rPr>
        <w:t>See questions 1, 2 and 3.</w:t>
      </w:r>
    </w:p>
    <w:p w14:paraId="15A431EB" w14:textId="77777777" w:rsidR="00E37100" w:rsidRPr="002401A7" w:rsidRDefault="00E37100" w:rsidP="002401A7">
      <w:pPr>
        <w:rPr>
          <w:lang w:val="en-US"/>
        </w:rPr>
      </w:pPr>
    </w:p>
    <w:permEnd w:id="351877901"/>
    <w:p w14:paraId="29DD3DB8" w14:textId="77777777" w:rsidR="00B92885" w:rsidRDefault="00B92885" w:rsidP="00B92885">
      <w:r>
        <w:t>&lt;ESMA_QUESTION_FUNA_4&gt;</w:t>
      </w:r>
    </w:p>
    <w:p w14:paraId="2795765D" w14:textId="77777777" w:rsidR="00B92885" w:rsidRDefault="00B92885" w:rsidP="00B92885"/>
    <w:p w14:paraId="2BEAA24E" w14:textId="77777777" w:rsidR="00B92885" w:rsidRDefault="00B92885" w:rsidP="00057085">
      <w:pPr>
        <w:pStyle w:val="Questionstyle"/>
        <w:numPr>
          <w:ilvl w:val="0"/>
          <w:numId w:val="37"/>
        </w:numPr>
      </w:pPr>
      <w:r>
        <w:t xml:space="preserve">: </w:t>
      </w:r>
      <w:r w:rsidRPr="000B78F5">
        <w:t>Do you think that there are other ways than the proposed thresholds to achieve the supervisory aim of ensuring that ESG or sustainability-related names of funds are aligned with their investment characteristics and objectives? If yes, please explain your alternative proposal. If yes, please explain your alternative proposal.</w:t>
      </w:r>
      <w:r w:rsidRPr="00391CB0">
        <w:t xml:space="preserve"> </w:t>
      </w:r>
    </w:p>
    <w:p w14:paraId="63615FFA" w14:textId="2D4FA919" w:rsidR="00B92885" w:rsidRDefault="00B92885" w:rsidP="00B92885">
      <w:r>
        <w:t>&lt;ESMA_QUESTION_FUNA_5&gt;</w:t>
      </w:r>
    </w:p>
    <w:p w14:paraId="64912D36" w14:textId="77777777" w:rsidR="00E37100" w:rsidRDefault="00E37100" w:rsidP="002401A7">
      <w:pPr>
        <w:rPr>
          <w:lang w:val="en-US"/>
        </w:rPr>
      </w:pPr>
      <w:permStart w:id="1539323392" w:edGrp="everyone"/>
    </w:p>
    <w:p w14:paraId="3FDB9064" w14:textId="20B54127" w:rsidR="002401A7" w:rsidRDefault="002401A7" w:rsidP="002401A7">
      <w:pPr>
        <w:rPr>
          <w:lang w:val="en-US"/>
        </w:rPr>
      </w:pPr>
      <w:r w:rsidRPr="002401A7">
        <w:rPr>
          <w:rFonts w:ascii="Arial Narrow" w:eastAsia="Calibri" w:hAnsi="Arial Narrow"/>
          <w:sz w:val="22"/>
          <w:szCs w:val="22"/>
          <w:lang w:val="en-US" w:eastAsia="en-US"/>
        </w:rPr>
        <w:t xml:space="preserve">Yes, there are alternatives to the proposed thresholds. </w:t>
      </w:r>
    </w:p>
    <w:p w14:paraId="32C88E5C" w14:textId="77777777" w:rsidR="002401A7" w:rsidRPr="002401A7" w:rsidRDefault="002401A7" w:rsidP="002401A7">
      <w:pPr>
        <w:rPr>
          <w:lang w:val="en-US"/>
        </w:rPr>
      </w:pPr>
    </w:p>
    <w:p w14:paraId="653F2065" w14:textId="5045BAA3" w:rsidR="002401A7" w:rsidRDefault="002401A7" w:rsidP="00057085">
      <w:pPr>
        <w:numPr>
          <w:ilvl w:val="0"/>
          <w:numId w:val="42"/>
        </w:numPr>
        <w:rPr>
          <w:b/>
          <w:bCs/>
          <w:lang w:val="en-US"/>
        </w:rPr>
      </w:pPr>
      <w:r w:rsidRPr="002401A7">
        <w:rPr>
          <w:b/>
          <w:bCs/>
          <w:lang w:val="en-US"/>
        </w:rPr>
        <w:t>Alternatives to the threshold approach:</w:t>
      </w:r>
    </w:p>
    <w:p w14:paraId="1E15D72F" w14:textId="77777777" w:rsidR="002401A7" w:rsidRPr="002401A7" w:rsidRDefault="002401A7" w:rsidP="002401A7">
      <w:pPr>
        <w:ind w:left="720"/>
        <w:rPr>
          <w:b/>
          <w:bCs/>
          <w:lang w:val="en-US"/>
        </w:rPr>
      </w:pPr>
    </w:p>
    <w:p w14:paraId="41CABB40" w14:textId="07412C32" w:rsidR="002401A7" w:rsidRDefault="002401A7" w:rsidP="002401A7">
      <w:pPr>
        <w:jc w:val="both"/>
        <w:rPr>
          <w:rFonts w:ascii="Arial Narrow" w:eastAsia="Calibri" w:hAnsi="Arial Narrow"/>
          <w:sz w:val="22"/>
          <w:szCs w:val="22"/>
          <w:lang w:val="en-US" w:eastAsia="en-US"/>
        </w:rPr>
      </w:pPr>
      <w:r w:rsidRPr="002401A7">
        <w:rPr>
          <w:rFonts w:ascii="Arial Narrow" w:eastAsia="Calibri" w:hAnsi="Arial Narrow"/>
          <w:sz w:val="22"/>
          <w:szCs w:val="22"/>
          <w:lang w:val="en-US" w:eastAsia="en-US"/>
        </w:rPr>
        <w:t xml:space="preserve">As </w:t>
      </w:r>
      <w:r w:rsidR="00EA1652">
        <w:rPr>
          <w:rFonts w:ascii="Arial Narrow" w:eastAsia="Calibri" w:hAnsi="Arial Narrow"/>
          <w:sz w:val="22"/>
          <w:szCs w:val="22"/>
          <w:lang w:val="en-US" w:eastAsia="en-US"/>
        </w:rPr>
        <w:t>above ind</w:t>
      </w:r>
      <w:r w:rsidRPr="002401A7">
        <w:rPr>
          <w:rFonts w:ascii="Arial Narrow" w:eastAsia="Calibri" w:hAnsi="Arial Narrow"/>
          <w:sz w:val="22"/>
          <w:szCs w:val="22"/>
          <w:lang w:val="en-US" w:eastAsia="en-US"/>
        </w:rPr>
        <w:t xml:space="preserve">icated, instead of the proposed thresholds to opt for one or another denomination, the approach adopted by ESMA in its Supervisory Instructions of May 2022 is considered more sound. </w:t>
      </w:r>
    </w:p>
    <w:p w14:paraId="70CF276C" w14:textId="77777777" w:rsidR="002401A7" w:rsidRPr="002401A7" w:rsidRDefault="002401A7" w:rsidP="002401A7">
      <w:pPr>
        <w:jc w:val="both"/>
        <w:rPr>
          <w:rFonts w:ascii="Arial Narrow" w:eastAsia="Calibri" w:hAnsi="Arial Narrow"/>
          <w:sz w:val="22"/>
          <w:szCs w:val="22"/>
          <w:lang w:val="en-US" w:eastAsia="en-US"/>
        </w:rPr>
      </w:pPr>
    </w:p>
    <w:p w14:paraId="197E6A0F" w14:textId="57EF89EA" w:rsidR="002401A7" w:rsidRPr="00EA1652" w:rsidRDefault="002401A7" w:rsidP="005211D0">
      <w:pPr>
        <w:jc w:val="both"/>
        <w:rPr>
          <w:rFonts w:ascii="Arial Narrow" w:eastAsia="Calibri" w:hAnsi="Arial Narrow"/>
          <w:sz w:val="22"/>
          <w:szCs w:val="22"/>
          <w:lang w:val="en-US" w:eastAsia="en-US"/>
        </w:rPr>
      </w:pPr>
      <w:r w:rsidRPr="002401A7">
        <w:rPr>
          <w:rFonts w:ascii="Arial Narrow" w:eastAsia="Calibri" w:hAnsi="Arial Narrow"/>
          <w:sz w:val="22"/>
          <w:szCs w:val="22"/>
          <w:lang w:val="en-US" w:eastAsia="en-US"/>
        </w:rPr>
        <w:t xml:space="preserve">Those Instructions stated that NCAs should ensure that the use of ESG references in the designations is limited to those cases where it is evidenced to be appropriate, substantially supported by the Fund's investments and considering the sustainability objectives or characteristics of the vehicle. </w:t>
      </w:r>
      <w:r w:rsidR="005211D0">
        <w:rPr>
          <w:rFonts w:ascii="Arial Narrow" w:eastAsia="Calibri" w:hAnsi="Arial Narrow"/>
          <w:sz w:val="22"/>
          <w:szCs w:val="22"/>
          <w:lang w:val="en-US" w:eastAsia="en-US"/>
        </w:rPr>
        <w:t>Those</w:t>
      </w:r>
      <w:r w:rsidR="00EA1652">
        <w:rPr>
          <w:rFonts w:ascii="Arial Narrow" w:eastAsia="Calibri" w:hAnsi="Arial Narrow"/>
          <w:sz w:val="22"/>
          <w:szCs w:val="22"/>
          <w:lang w:val="en-US" w:eastAsia="en-US"/>
        </w:rPr>
        <w:t xml:space="preserve"> Instructions</w:t>
      </w:r>
      <w:r w:rsidR="005211D0">
        <w:rPr>
          <w:rFonts w:ascii="Arial Narrow" w:eastAsia="Calibri" w:hAnsi="Arial Narrow"/>
          <w:sz w:val="22"/>
          <w:szCs w:val="22"/>
          <w:lang w:val="en-US" w:eastAsia="en-US"/>
        </w:rPr>
        <w:t xml:space="preserve"> (i) w</w:t>
      </w:r>
      <w:r w:rsidRPr="00EA1652">
        <w:rPr>
          <w:rFonts w:ascii="Arial Narrow" w:eastAsia="Calibri" w:hAnsi="Arial Narrow"/>
          <w:sz w:val="22"/>
          <w:szCs w:val="22"/>
          <w:lang w:val="en-US" w:eastAsia="en-US"/>
        </w:rPr>
        <w:t xml:space="preserve">ere </w:t>
      </w:r>
      <w:r w:rsidR="00EA1652">
        <w:rPr>
          <w:rFonts w:ascii="Arial Narrow" w:eastAsia="Calibri" w:hAnsi="Arial Narrow"/>
          <w:sz w:val="22"/>
          <w:szCs w:val="22"/>
          <w:lang w:val="en-US" w:eastAsia="en-US"/>
        </w:rPr>
        <w:t xml:space="preserve">compliant with </w:t>
      </w:r>
      <w:r w:rsidRPr="00EA1652">
        <w:rPr>
          <w:rFonts w:ascii="Arial Narrow" w:eastAsia="Calibri" w:hAnsi="Arial Narrow"/>
          <w:sz w:val="22"/>
          <w:szCs w:val="22"/>
          <w:lang w:val="en-US" w:eastAsia="en-US"/>
        </w:rPr>
        <w:t>the concept of Guidelines and Recommendations contained in Article 16 of the ESMA Regulation</w:t>
      </w:r>
      <w:r w:rsidR="00EA1652" w:rsidRPr="00EA1652">
        <w:rPr>
          <w:rFonts w:ascii="Arial Narrow" w:eastAsia="Calibri" w:hAnsi="Arial Narrow"/>
          <w:sz w:val="22"/>
          <w:szCs w:val="22"/>
          <w:lang w:val="en-US" w:eastAsia="en-US"/>
        </w:rPr>
        <w:t xml:space="preserve"> and </w:t>
      </w:r>
      <w:r w:rsidR="005211D0">
        <w:rPr>
          <w:rFonts w:ascii="Arial Narrow" w:eastAsia="Calibri" w:hAnsi="Arial Narrow"/>
          <w:sz w:val="22"/>
          <w:szCs w:val="22"/>
          <w:lang w:val="en-US" w:eastAsia="en-US"/>
        </w:rPr>
        <w:t>(ii) d</w:t>
      </w:r>
      <w:r w:rsidR="00EA1652">
        <w:rPr>
          <w:rFonts w:ascii="Arial Narrow" w:eastAsia="Calibri" w:hAnsi="Arial Narrow"/>
          <w:sz w:val="22"/>
          <w:szCs w:val="22"/>
          <w:lang w:val="en-US" w:eastAsia="en-US"/>
        </w:rPr>
        <w:t xml:space="preserve">id not include </w:t>
      </w:r>
      <w:r w:rsidRPr="00EA1652">
        <w:rPr>
          <w:rFonts w:ascii="Arial Narrow" w:eastAsia="Calibri" w:hAnsi="Arial Narrow"/>
          <w:sz w:val="22"/>
          <w:szCs w:val="22"/>
          <w:lang w:val="en-US" w:eastAsia="en-US"/>
        </w:rPr>
        <w:t>overlapping rules</w:t>
      </w:r>
      <w:r w:rsidR="00EA1652">
        <w:rPr>
          <w:rFonts w:ascii="Arial Narrow" w:eastAsia="Calibri" w:hAnsi="Arial Narrow"/>
          <w:sz w:val="22"/>
          <w:szCs w:val="22"/>
          <w:lang w:val="en-US" w:eastAsia="en-US"/>
        </w:rPr>
        <w:t xml:space="preserve"> which were </w:t>
      </w:r>
      <w:r w:rsidRPr="00EA1652">
        <w:rPr>
          <w:rFonts w:ascii="Arial Narrow" w:eastAsia="Calibri" w:hAnsi="Arial Narrow"/>
          <w:sz w:val="22"/>
          <w:szCs w:val="22"/>
          <w:lang w:val="en-US" w:eastAsia="en-US"/>
        </w:rPr>
        <w:t>inconsistent with existing legislation.</w:t>
      </w:r>
    </w:p>
    <w:p w14:paraId="706AACE9" w14:textId="77777777" w:rsidR="002401A7" w:rsidRPr="002401A7" w:rsidRDefault="002401A7" w:rsidP="002401A7">
      <w:pPr>
        <w:jc w:val="both"/>
        <w:rPr>
          <w:rFonts w:ascii="Arial Narrow" w:eastAsia="Calibri" w:hAnsi="Arial Narrow"/>
          <w:sz w:val="22"/>
          <w:szCs w:val="22"/>
          <w:lang w:val="en-US" w:eastAsia="en-US"/>
        </w:rPr>
      </w:pPr>
    </w:p>
    <w:p w14:paraId="21B772D4" w14:textId="6274836A" w:rsidR="002401A7" w:rsidRPr="002401A7" w:rsidRDefault="002401A7" w:rsidP="002401A7">
      <w:pPr>
        <w:jc w:val="both"/>
        <w:rPr>
          <w:rFonts w:ascii="Arial Narrow" w:eastAsia="Calibri" w:hAnsi="Arial Narrow"/>
          <w:sz w:val="22"/>
          <w:szCs w:val="22"/>
          <w:lang w:val="en-US" w:eastAsia="en-US"/>
        </w:rPr>
      </w:pPr>
      <w:r w:rsidRPr="002401A7">
        <w:rPr>
          <w:rFonts w:ascii="Arial Narrow" w:eastAsia="Calibri" w:hAnsi="Arial Narrow"/>
          <w:sz w:val="22"/>
          <w:szCs w:val="22"/>
          <w:lang w:val="en-US" w:eastAsia="en-US"/>
        </w:rPr>
        <w:t xml:space="preserve">However, if ESMA wants to develop </w:t>
      </w:r>
      <w:r w:rsidR="005211D0">
        <w:rPr>
          <w:rFonts w:ascii="Arial Narrow" w:eastAsia="Calibri" w:hAnsi="Arial Narrow"/>
          <w:sz w:val="22"/>
          <w:szCs w:val="22"/>
          <w:lang w:val="en-US" w:eastAsia="en-US"/>
        </w:rPr>
        <w:t xml:space="preserve">more detailed criteria, </w:t>
      </w:r>
      <w:r w:rsidRPr="002401A7">
        <w:rPr>
          <w:rFonts w:ascii="Arial Narrow" w:eastAsia="Calibri" w:hAnsi="Arial Narrow"/>
          <w:sz w:val="22"/>
          <w:szCs w:val="22"/>
          <w:lang w:val="en-US" w:eastAsia="en-US"/>
        </w:rPr>
        <w:t xml:space="preserve">instead of thresholds, Guidelines </w:t>
      </w:r>
      <w:r w:rsidR="005211D0">
        <w:rPr>
          <w:rFonts w:ascii="Arial Narrow" w:eastAsia="Calibri" w:hAnsi="Arial Narrow"/>
          <w:sz w:val="22"/>
          <w:szCs w:val="22"/>
          <w:lang w:val="en-US" w:eastAsia="en-US"/>
        </w:rPr>
        <w:t xml:space="preserve">may follow </w:t>
      </w:r>
      <w:r w:rsidRPr="002401A7">
        <w:rPr>
          <w:rFonts w:ascii="Arial Narrow" w:eastAsia="Calibri" w:hAnsi="Arial Narrow"/>
          <w:sz w:val="22"/>
          <w:szCs w:val="22"/>
          <w:lang w:val="en-US" w:eastAsia="en-US"/>
        </w:rPr>
        <w:t>a strategy-based approach and investment decision-making processes consistent with SFDR</w:t>
      </w:r>
      <w:r w:rsidR="005211D0">
        <w:rPr>
          <w:rFonts w:ascii="Arial Narrow" w:eastAsia="Calibri" w:hAnsi="Arial Narrow"/>
          <w:sz w:val="22"/>
          <w:szCs w:val="22"/>
          <w:lang w:val="en-US" w:eastAsia="en-US"/>
        </w:rPr>
        <w:t>. An example may be as follows:</w:t>
      </w:r>
    </w:p>
    <w:p w14:paraId="0E90A17A" w14:textId="77777777" w:rsidR="002401A7" w:rsidRDefault="002401A7" w:rsidP="002401A7">
      <w:pPr>
        <w:rPr>
          <w:rFonts w:ascii="Arial Narrow" w:eastAsia="Calibri" w:hAnsi="Arial Narrow"/>
          <w:sz w:val="22"/>
          <w:szCs w:val="22"/>
          <w:lang w:val="en-US" w:eastAsia="en-US"/>
        </w:rPr>
      </w:pPr>
    </w:p>
    <w:p w14:paraId="0E51BF05" w14:textId="60502FB4" w:rsidR="002401A7" w:rsidRDefault="005211D0" w:rsidP="002401A7">
      <w:pPr>
        <w:rPr>
          <w:rFonts w:ascii="Arial Narrow" w:eastAsia="Calibri" w:hAnsi="Arial Narrow"/>
          <w:sz w:val="22"/>
          <w:szCs w:val="22"/>
          <w:lang w:val="en-US" w:eastAsia="en-US"/>
        </w:rPr>
      </w:pPr>
      <w:r>
        <w:rPr>
          <w:rFonts w:ascii="Arial Narrow" w:eastAsia="Calibri" w:hAnsi="Arial Narrow"/>
          <w:sz w:val="22"/>
          <w:szCs w:val="22"/>
          <w:lang w:val="en-US" w:eastAsia="en-US"/>
        </w:rPr>
        <w:t>P</w:t>
      </w:r>
      <w:r w:rsidR="002401A7" w:rsidRPr="002401A7">
        <w:rPr>
          <w:rFonts w:ascii="Arial Narrow" w:eastAsia="Calibri" w:hAnsi="Arial Narrow"/>
          <w:sz w:val="22"/>
          <w:szCs w:val="22"/>
          <w:lang w:val="en-US" w:eastAsia="en-US"/>
        </w:rPr>
        <w:t>roducts with higher ambition ("dark green")</w:t>
      </w:r>
      <w:r>
        <w:rPr>
          <w:rFonts w:ascii="Arial Narrow" w:eastAsia="Calibri" w:hAnsi="Arial Narrow"/>
          <w:sz w:val="22"/>
          <w:szCs w:val="22"/>
          <w:lang w:val="en-US" w:eastAsia="en-US"/>
        </w:rPr>
        <w:t>, in terms of denomination, may be required to have</w:t>
      </w:r>
      <w:r w:rsidR="002401A7" w:rsidRPr="002401A7">
        <w:rPr>
          <w:rFonts w:ascii="Arial Narrow" w:eastAsia="Calibri" w:hAnsi="Arial Narrow"/>
          <w:sz w:val="22"/>
          <w:szCs w:val="22"/>
          <w:lang w:val="en-US" w:eastAsia="en-US"/>
        </w:rPr>
        <w:t>:</w:t>
      </w:r>
    </w:p>
    <w:p w14:paraId="7119E68D" w14:textId="77777777" w:rsidR="002401A7" w:rsidRPr="002401A7" w:rsidRDefault="002401A7" w:rsidP="00057085">
      <w:pPr>
        <w:numPr>
          <w:ilvl w:val="0"/>
          <w:numId w:val="44"/>
        </w:numPr>
        <w:rPr>
          <w:rFonts w:ascii="Arial Narrow" w:eastAsia="Calibri" w:hAnsi="Arial Narrow"/>
          <w:sz w:val="22"/>
          <w:szCs w:val="22"/>
          <w:lang w:val="en-US" w:eastAsia="en-US"/>
        </w:rPr>
      </w:pPr>
      <w:r w:rsidRPr="002401A7">
        <w:rPr>
          <w:rFonts w:ascii="Arial Narrow" w:eastAsia="Calibri" w:hAnsi="Arial Narrow"/>
          <w:sz w:val="22"/>
          <w:szCs w:val="22"/>
          <w:lang w:val="en-US" w:eastAsia="en-US"/>
        </w:rPr>
        <w:t xml:space="preserve">A measurable sustainable investment objective </w:t>
      </w:r>
    </w:p>
    <w:p w14:paraId="09AE90DC" w14:textId="77777777" w:rsidR="002401A7" w:rsidRPr="002401A7" w:rsidRDefault="002401A7" w:rsidP="00057085">
      <w:pPr>
        <w:numPr>
          <w:ilvl w:val="0"/>
          <w:numId w:val="44"/>
        </w:numPr>
        <w:rPr>
          <w:rFonts w:ascii="Arial Narrow" w:eastAsia="Calibri" w:hAnsi="Arial Narrow"/>
          <w:sz w:val="22"/>
          <w:szCs w:val="22"/>
          <w:lang w:val="en-US" w:eastAsia="en-US"/>
        </w:rPr>
      </w:pPr>
      <w:r w:rsidRPr="002401A7">
        <w:rPr>
          <w:rFonts w:ascii="Arial Narrow" w:eastAsia="Calibri" w:hAnsi="Arial Narrow"/>
          <w:sz w:val="22"/>
          <w:szCs w:val="22"/>
          <w:lang w:val="en-US" w:eastAsia="en-US"/>
        </w:rPr>
        <w:t xml:space="preserve">An investment strategy aligned with the stated sustainable target.  </w:t>
      </w:r>
    </w:p>
    <w:p w14:paraId="08F7EF1D" w14:textId="77777777" w:rsidR="002401A7" w:rsidRPr="002401A7" w:rsidRDefault="002401A7" w:rsidP="00057085">
      <w:pPr>
        <w:numPr>
          <w:ilvl w:val="0"/>
          <w:numId w:val="44"/>
        </w:numPr>
        <w:rPr>
          <w:rFonts w:ascii="Arial Narrow" w:eastAsia="Calibri" w:hAnsi="Arial Narrow"/>
          <w:sz w:val="22"/>
          <w:szCs w:val="22"/>
          <w:lang w:val="en-US" w:eastAsia="en-US"/>
        </w:rPr>
      </w:pPr>
      <w:r w:rsidRPr="002401A7">
        <w:rPr>
          <w:rFonts w:ascii="Arial Narrow" w:eastAsia="Calibri" w:hAnsi="Arial Narrow"/>
          <w:sz w:val="22"/>
          <w:szCs w:val="22"/>
          <w:lang w:val="en-US" w:eastAsia="en-US"/>
        </w:rPr>
        <w:t xml:space="preserve">A minimum investment committed to the investment strategy. </w:t>
      </w:r>
    </w:p>
    <w:p w14:paraId="2A9CDEF0" w14:textId="77777777" w:rsidR="002401A7" w:rsidRPr="002401A7" w:rsidRDefault="002401A7" w:rsidP="00057085">
      <w:pPr>
        <w:numPr>
          <w:ilvl w:val="0"/>
          <w:numId w:val="44"/>
        </w:numPr>
        <w:rPr>
          <w:rFonts w:ascii="Arial Narrow" w:eastAsia="Calibri" w:hAnsi="Arial Narrow"/>
          <w:sz w:val="22"/>
          <w:szCs w:val="22"/>
          <w:lang w:val="en-US" w:eastAsia="en-US"/>
        </w:rPr>
      </w:pPr>
      <w:r w:rsidRPr="002401A7">
        <w:rPr>
          <w:rFonts w:ascii="Arial Narrow" w:eastAsia="Calibri" w:hAnsi="Arial Narrow"/>
          <w:sz w:val="22"/>
          <w:szCs w:val="22"/>
          <w:lang w:val="en-US" w:eastAsia="en-US"/>
        </w:rPr>
        <w:t>KPIs aligned with the target and track them.</w:t>
      </w:r>
    </w:p>
    <w:p w14:paraId="5F2167E4" w14:textId="77777777" w:rsidR="002401A7" w:rsidRPr="002401A7" w:rsidRDefault="002401A7" w:rsidP="00057085">
      <w:pPr>
        <w:numPr>
          <w:ilvl w:val="0"/>
          <w:numId w:val="44"/>
        </w:numPr>
        <w:rPr>
          <w:rFonts w:ascii="Arial Narrow" w:eastAsia="Calibri" w:hAnsi="Arial Narrow"/>
          <w:sz w:val="22"/>
          <w:szCs w:val="22"/>
          <w:lang w:val="en-US" w:eastAsia="en-US"/>
        </w:rPr>
      </w:pPr>
      <w:r w:rsidRPr="002401A7">
        <w:rPr>
          <w:rFonts w:ascii="Arial Narrow" w:eastAsia="Calibri" w:hAnsi="Arial Narrow"/>
          <w:sz w:val="22"/>
          <w:szCs w:val="22"/>
          <w:lang w:val="en-US" w:eastAsia="en-US"/>
        </w:rPr>
        <w:t xml:space="preserve">Governance and organizational structures necessary to be able to achieve the target. </w:t>
      </w:r>
    </w:p>
    <w:p w14:paraId="1F9B7357" w14:textId="5A173C69" w:rsidR="002401A7" w:rsidRDefault="002401A7" w:rsidP="00057085">
      <w:pPr>
        <w:numPr>
          <w:ilvl w:val="0"/>
          <w:numId w:val="44"/>
        </w:numPr>
        <w:rPr>
          <w:rFonts w:ascii="Arial Narrow" w:eastAsia="Calibri" w:hAnsi="Arial Narrow"/>
          <w:sz w:val="22"/>
          <w:szCs w:val="22"/>
          <w:lang w:val="en-US" w:eastAsia="en-US"/>
        </w:rPr>
      </w:pPr>
      <w:r w:rsidRPr="002401A7">
        <w:rPr>
          <w:rFonts w:ascii="Arial Narrow" w:eastAsia="Calibri" w:hAnsi="Arial Narrow"/>
          <w:sz w:val="22"/>
          <w:szCs w:val="22"/>
          <w:lang w:val="en-US" w:eastAsia="en-US"/>
        </w:rPr>
        <w:t>An engagement policy aligned with the achievement of the objective.</w:t>
      </w:r>
    </w:p>
    <w:p w14:paraId="48757697" w14:textId="77777777" w:rsidR="002401A7" w:rsidRPr="002401A7" w:rsidRDefault="002401A7" w:rsidP="002401A7">
      <w:pPr>
        <w:ind w:left="1134"/>
        <w:rPr>
          <w:rFonts w:ascii="Arial Narrow" w:eastAsia="Calibri" w:hAnsi="Arial Narrow"/>
          <w:sz w:val="22"/>
          <w:szCs w:val="22"/>
          <w:lang w:val="en-US" w:eastAsia="en-US"/>
        </w:rPr>
      </w:pPr>
    </w:p>
    <w:p w14:paraId="29A49E75" w14:textId="49AE9BBF" w:rsidR="002401A7" w:rsidRPr="002401A7" w:rsidRDefault="005211D0" w:rsidP="002401A7">
      <w:pPr>
        <w:rPr>
          <w:rFonts w:ascii="Arial Narrow" w:eastAsia="Calibri" w:hAnsi="Arial Narrow"/>
          <w:sz w:val="22"/>
          <w:szCs w:val="22"/>
          <w:lang w:val="en-US" w:eastAsia="en-US"/>
        </w:rPr>
      </w:pPr>
      <w:r>
        <w:rPr>
          <w:rFonts w:ascii="Arial Narrow" w:eastAsia="Calibri" w:hAnsi="Arial Narrow"/>
          <w:sz w:val="22"/>
          <w:szCs w:val="22"/>
          <w:lang w:val="en-US" w:eastAsia="en-US"/>
        </w:rPr>
        <w:t>“L</w:t>
      </w:r>
      <w:r w:rsidR="002401A7" w:rsidRPr="002401A7">
        <w:rPr>
          <w:rFonts w:ascii="Arial Narrow" w:eastAsia="Calibri" w:hAnsi="Arial Narrow"/>
          <w:sz w:val="22"/>
          <w:szCs w:val="22"/>
          <w:lang w:val="en-US" w:eastAsia="en-US"/>
        </w:rPr>
        <w:t>ight green"</w:t>
      </w:r>
      <w:r>
        <w:rPr>
          <w:rFonts w:ascii="Arial Narrow" w:eastAsia="Calibri" w:hAnsi="Arial Narrow"/>
          <w:sz w:val="22"/>
          <w:szCs w:val="22"/>
          <w:lang w:val="en-US" w:eastAsia="en-US"/>
        </w:rPr>
        <w:t xml:space="preserve"> products may be required to have</w:t>
      </w:r>
      <w:r w:rsidR="002401A7" w:rsidRPr="002401A7">
        <w:rPr>
          <w:rFonts w:ascii="Arial Narrow" w:eastAsia="Calibri" w:hAnsi="Arial Narrow"/>
          <w:sz w:val="22"/>
          <w:szCs w:val="22"/>
          <w:lang w:val="en-US" w:eastAsia="en-US"/>
        </w:rPr>
        <w:t>:</w:t>
      </w:r>
    </w:p>
    <w:p w14:paraId="2B5FBDC8" w14:textId="77777777" w:rsidR="002401A7" w:rsidRPr="002401A7" w:rsidRDefault="002401A7" w:rsidP="00057085">
      <w:pPr>
        <w:numPr>
          <w:ilvl w:val="0"/>
          <w:numId w:val="45"/>
        </w:numPr>
        <w:rPr>
          <w:rFonts w:ascii="Arial Narrow" w:eastAsia="Calibri" w:hAnsi="Arial Narrow"/>
          <w:sz w:val="22"/>
          <w:szCs w:val="22"/>
          <w:lang w:val="en-US" w:eastAsia="en-US"/>
        </w:rPr>
      </w:pPr>
      <w:r w:rsidRPr="002401A7">
        <w:rPr>
          <w:rFonts w:ascii="Arial Narrow" w:eastAsia="Calibri" w:hAnsi="Arial Narrow"/>
          <w:sz w:val="22"/>
          <w:szCs w:val="22"/>
          <w:lang w:val="en-US" w:eastAsia="en-US"/>
        </w:rPr>
        <w:t xml:space="preserve">An investment strategy aligned with the characteristics to be promoted.  </w:t>
      </w:r>
    </w:p>
    <w:p w14:paraId="13005BE1" w14:textId="77777777" w:rsidR="002401A7" w:rsidRPr="002401A7" w:rsidRDefault="002401A7" w:rsidP="00057085">
      <w:pPr>
        <w:numPr>
          <w:ilvl w:val="0"/>
          <w:numId w:val="45"/>
        </w:numPr>
        <w:rPr>
          <w:rFonts w:ascii="Arial Narrow" w:eastAsia="Calibri" w:hAnsi="Arial Narrow"/>
          <w:sz w:val="22"/>
          <w:szCs w:val="22"/>
          <w:lang w:val="en-US" w:eastAsia="en-US"/>
        </w:rPr>
      </w:pPr>
      <w:r w:rsidRPr="002401A7">
        <w:rPr>
          <w:rFonts w:ascii="Arial Narrow" w:eastAsia="Calibri" w:hAnsi="Arial Narrow"/>
          <w:sz w:val="22"/>
          <w:szCs w:val="22"/>
          <w:lang w:val="en-US" w:eastAsia="en-US"/>
        </w:rPr>
        <w:t xml:space="preserve">A minimum investment committed to the investment strategy. </w:t>
      </w:r>
    </w:p>
    <w:p w14:paraId="0FD17F63" w14:textId="77777777" w:rsidR="002401A7" w:rsidRPr="002401A7" w:rsidRDefault="002401A7" w:rsidP="00057085">
      <w:pPr>
        <w:numPr>
          <w:ilvl w:val="0"/>
          <w:numId w:val="45"/>
        </w:numPr>
        <w:rPr>
          <w:rFonts w:ascii="Arial Narrow" w:eastAsia="Calibri" w:hAnsi="Arial Narrow"/>
          <w:sz w:val="22"/>
          <w:szCs w:val="22"/>
          <w:lang w:val="en-US" w:eastAsia="en-US"/>
        </w:rPr>
      </w:pPr>
      <w:r w:rsidRPr="002401A7">
        <w:rPr>
          <w:rFonts w:ascii="Arial Narrow" w:eastAsia="Calibri" w:hAnsi="Arial Narrow"/>
          <w:sz w:val="22"/>
          <w:szCs w:val="22"/>
          <w:lang w:val="en-US" w:eastAsia="en-US"/>
        </w:rPr>
        <w:t>Clear and measurable KPIs on the strategy and track them.</w:t>
      </w:r>
    </w:p>
    <w:p w14:paraId="7310B8BA" w14:textId="77777777" w:rsidR="002401A7" w:rsidRPr="002401A7" w:rsidRDefault="002401A7" w:rsidP="00057085">
      <w:pPr>
        <w:numPr>
          <w:ilvl w:val="0"/>
          <w:numId w:val="45"/>
        </w:numPr>
        <w:rPr>
          <w:rFonts w:ascii="Arial Narrow" w:eastAsia="Calibri" w:hAnsi="Arial Narrow"/>
          <w:sz w:val="22"/>
          <w:szCs w:val="22"/>
          <w:lang w:val="en-US" w:eastAsia="en-US"/>
        </w:rPr>
      </w:pPr>
      <w:r w:rsidRPr="002401A7">
        <w:rPr>
          <w:rFonts w:ascii="Arial Narrow" w:eastAsia="Calibri" w:hAnsi="Arial Narrow"/>
          <w:sz w:val="22"/>
          <w:szCs w:val="22"/>
          <w:lang w:val="en-US" w:eastAsia="en-US"/>
        </w:rPr>
        <w:lastRenderedPageBreak/>
        <w:t xml:space="preserve">Governance and organizational structures necessary to be able to achieve the characteristics being promoted. </w:t>
      </w:r>
    </w:p>
    <w:p w14:paraId="638BA783" w14:textId="77777777" w:rsidR="002401A7" w:rsidRPr="002401A7" w:rsidRDefault="002401A7" w:rsidP="002401A7">
      <w:pPr>
        <w:rPr>
          <w:rFonts w:ascii="Arial Narrow" w:eastAsia="Calibri" w:hAnsi="Arial Narrow"/>
          <w:sz w:val="22"/>
          <w:szCs w:val="22"/>
          <w:lang w:val="en-US" w:eastAsia="en-US"/>
        </w:rPr>
      </w:pPr>
    </w:p>
    <w:p w14:paraId="7FA634D0" w14:textId="086E781F" w:rsidR="002401A7" w:rsidRDefault="002401A7" w:rsidP="00057085">
      <w:pPr>
        <w:numPr>
          <w:ilvl w:val="0"/>
          <w:numId w:val="42"/>
        </w:numPr>
        <w:rPr>
          <w:rFonts w:ascii="Arial Narrow" w:eastAsia="Calibri" w:hAnsi="Arial Narrow"/>
          <w:sz w:val="22"/>
          <w:szCs w:val="22"/>
          <w:lang w:val="en-US" w:eastAsia="en-US"/>
        </w:rPr>
      </w:pPr>
      <w:r w:rsidRPr="002401A7">
        <w:rPr>
          <w:rFonts w:ascii="Arial Narrow" w:eastAsia="Calibri" w:hAnsi="Arial Narrow"/>
          <w:b/>
          <w:bCs/>
          <w:sz w:val="22"/>
          <w:szCs w:val="22"/>
          <w:lang w:val="en-US" w:eastAsia="en-US"/>
        </w:rPr>
        <w:t>Alternative to the proposed thresholds</w:t>
      </w:r>
      <w:r w:rsidRPr="002401A7">
        <w:rPr>
          <w:rFonts w:ascii="Arial Narrow" w:eastAsia="Calibri" w:hAnsi="Arial Narrow"/>
          <w:sz w:val="22"/>
          <w:szCs w:val="22"/>
          <w:lang w:val="en-US" w:eastAsia="en-US"/>
        </w:rPr>
        <w:t>:</w:t>
      </w:r>
    </w:p>
    <w:p w14:paraId="1102E93F" w14:textId="77777777" w:rsidR="002401A7" w:rsidRPr="002401A7" w:rsidRDefault="002401A7" w:rsidP="002401A7">
      <w:pPr>
        <w:ind w:left="360"/>
        <w:rPr>
          <w:rFonts w:ascii="Arial Narrow" w:eastAsia="Calibri" w:hAnsi="Arial Narrow"/>
          <w:sz w:val="22"/>
          <w:szCs w:val="22"/>
          <w:lang w:val="en-US" w:eastAsia="en-US"/>
        </w:rPr>
      </w:pPr>
    </w:p>
    <w:p w14:paraId="264502CE" w14:textId="4A99BC16" w:rsidR="002401A7" w:rsidRPr="002401A7" w:rsidRDefault="002401A7" w:rsidP="002401A7">
      <w:pPr>
        <w:jc w:val="both"/>
        <w:rPr>
          <w:rFonts w:ascii="Arial Narrow" w:eastAsia="Calibri" w:hAnsi="Arial Narrow"/>
          <w:sz w:val="22"/>
          <w:szCs w:val="22"/>
          <w:lang w:val="en-US" w:eastAsia="en-US"/>
        </w:rPr>
      </w:pPr>
      <w:r w:rsidRPr="002401A7">
        <w:rPr>
          <w:rFonts w:ascii="Arial Narrow" w:eastAsia="Calibri" w:hAnsi="Arial Narrow"/>
          <w:sz w:val="22"/>
          <w:szCs w:val="22"/>
          <w:lang w:val="en-US" w:eastAsia="en-US"/>
        </w:rPr>
        <w:t>Should ESMA decide to maintain the thresholds approach</w:t>
      </w:r>
      <w:r w:rsidR="005211D0">
        <w:rPr>
          <w:rFonts w:ascii="Arial Narrow" w:eastAsia="Calibri" w:hAnsi="Arial Narrow"/>
          <w:sz w:val="22"/>
          <w:szCs w:val="22"/>
          <w:lang w:val="en-US" w:eastAsia="en-US"/>
        </w:rPr>
        <w:t>,</w:t>
      </w:r>
      <w:r w:rsidRPr="002401A7">
        <w:rPr>
          <w:rFonts w:ascii="Arial Narrow" w:eastAsia="Calibri" w:hAnsi="Arial Narrow"/>
          <w:sz w:val="22"/>
          <w:szCs w:val="22"/>
          <w:lang w:val="en-US" w:eastAsia="en-US"/>
        </w:rPr>
        <w:t xml:space="preserve"> it would be advisable to consider alternatives in line with the following:</w:t>
      </w:r>
    </w:p>
    <w:p w14:paraId="34DFA2C7" w14:textId="77777777" w:rsidR="002401A7" w:rsidRPr="002401A7" w:rsidRDefault="002401A7" w:rsidP="002401A7">
      <w:pPr>
        <w:jc w:val="both"/>
        <w:rPr>
          <w:rFonts w:ascii="Arial Narrow" w:eastAsia="Calibri" w:hAnsi="Arial Narrow"/>
          <w:sz w:val="22"/>
          <w:szCs w:val="22"/>
          <w:lang w:val="en-US" w:eastAsia="en-US"/>
        </w:rPr>
      </w:pPr>
    </w:p>
    <w:p w14:paraId="40895A66" w14:textId="77777777" w:rsidR="002401A7" w:rsidRPr="002401A7" w:rsidRDefault="002401A7" w:rsidP="00057085">
      <w:pPr>
        <w:numPr>
          <w:ilvl w:val="0"/>
          <w:numId w:val="43"/>
        </w:numPr>
        <w:ind w:left="360"/>
        <w:jc w:val="both"/>
        <w:rPr>
          <w:rFonts w:ascii="Arial Narrow" w:hAnsi="Arial Narrow"/>
          <w:sz w:val="22"/>
          <w:szCs w:val="22"/>
          <w:lang w:val="en-US"/>
        </w:rPr>
      </w:pPr>
      <w:r w:rsidRPr="002401A7">
        <w:rPr>
          <w:rFonts w:ascii="Arial Narrow" w:hAnsi="Arial Narrow"/>
          <w:sz w:val="22"/>
          <w:szCs w:val="22"/>
          <w:u w:val="single"/>
          <w:lang w:val="en-US"/>
        </w:rPr>
        <w:t>Equal and independent thresholds</w:t>
      </w:r>
      <w:r w:rsidRPr="002401A7">
        <w:rPr>
          <w:rFonts w:ascii="Arial Narrow" w:hAnsi="Arial Narrow"/>
          <w:sz w:val="22"/>
          <w:szCs w:val="22"/>
          <w:lang w:val="en-US"/>
        </w:rPr>
        <w:t>: Setting equal and independent thresholds eliminates potential inconsistencies in the use of ESG-related terms.</w:t>
      </w:r>
    </w:p>
    <w:p w14:paraId="705DD26B" w14:textId="77777777" w:rsidR="002401A7" w:rsidRPr="002401A7" w:rsidRDefault="002401A7" w:rsidP="002401A7">
      <w:pPr>
        <w:ind w:left="-360"/>
        <w:jc w:val="both"/>
        <w:rPr>
          <w:rFonts w:ascii="Arial Narrow" w:hAnsi="Arial Narrow"/>
          <w:sz w:val="22"/>
          <w:szCs w:val="22"/>
          <w:lang w:val="en-US"/>
        </w:rPr>
      </w:pPr>
    </w:p>
    <w:p w14:paraId="5A5E4B21" w14:textId="77777777" w:rsidR="002401A7" w:rsidRPr="002401A7" w:rsidRDefault="002401A7" w:rsidP="00057085">
      <w:pPr>
        <w:numPr>
          <w:ilvl w:val="0"/>
          <w:numId w:val="43"/>
        </w:numPr>
        <w:ind w:left="360"/>
        <w:jc w:val="both"/>
        <w:rPr>
          <w:rFonts w:ascii="Arial Narrow" w:hAnsi="Arial Narrow"/>
          <w:sz w:val="22"/>
          <w:szCs w:val="22"/>
          <w:lang w:val="en-US"/>
        </w:rPr>
      </w:pPr>
      <w:r w:rsidRPr="002401A7">
        <w:rPr>
          <w:rFonts w:ascii="Arial Narrow" w:hAnsi="Arial Narrow"/>
          <w:sz w:val="22"/>
          <w:szCs w:val="22"/>
          <w:u w:val="single"/>
          <w:lang w:val="en-US"/>
        </w:rPr>
        <w:t>Progressive approach</w:t>
      </w:r>
      <w:r w:rsidRPr="002401A7">
        <w:rPr>
          <w:rFonts w:ascii="Arial Narrow" w:hAnsi="Arial Narrow"/>
          <w:sz w:val="22"/>
          <w:szCs w:val="22"/>
          <w:lang w:val="en-US"/>
        </w:rPr>
        <w:t>: It is proposed to start with 20% (2025), 30% (2026), 40% (2027), 50% (2028) in such a way that minimum standards are collected in line with the reality of the sustainable asset market and its foreseeable evolution as access and quality of sustainability data progresses, taking as a reference e.g. the staggered application of CSRD or the ESAP ("European Single Action Point") initiative.</w:t>
      </w:r>
    </w:p>
    <w:p w14:paraId="6E751F5B" w14:textId="77777777" w:rsidR="002401A7" w:rsidRPr="002401A7" w:rsidRDefault="002401A7" w:rsidP="002401A7">
      <w:pPr>
        <w:jc w:val="both"/>
        <w:rPr>
          <w:rFonts w:ascii="Arial Narrow" w:hAnsi="Arial Narrow"/>
          <w:sz w:val="22"/>
          <w:szCs w:val="22"/>
          <w:lang w:val="en-US"/>
        </w:rPr>
      </w:pPr>
    </w:p>
    <w:p w14:paraId="1E40D541" w14:textId="2E1C9220" w:rsidR="002401A7" w:rsidRPr="002401A7" w:rsidRDefault="002401A7" w:rsidP="00057085">
      <w:pPr>
        <w:numPr>
          <w:ilvl w:val="0"/>
          <w:numId w:val="43"/>
        </w:numPr>
        <w:ind w:left="360"/>
        <w:jc w:val="both"/>
        <w:rPr>
          <w:rFonts w:ascii="Arial Narrow" w:hAnsi="Arial Narrow"/>
          <w:sz w:val="22"/>
          <w:szCs w:val="22"/>
          <w:lang w:val="en-US"/>
        </w:rPr>
      </w:pPr>
      <w:r w:rsidRPr="002401A7">
        <w:rPr>
          <w:rFonts w:ascii="Arial Narrow" w:hAnsi="Arial Narrow"/>
          <w:sz w:val="22"/>
          <w:szCs w:val="22"/>
          <w:u w:val="single"/>
          <w:lang w:val="en-US"/>
        </w:rPr>
        <w:t>Set up of</w:t>
      </w:r>
      <w:r w:rsidR="005211D0">
        <w:rPr>
          <w:rFonts w:ascii="Arial Narrow" w:hAnsi="Arial Narrow"/>
          <w:sz w:val="22"/>
          <w:szCs w:val="22"/>
          <w:u w:val="single"/>
          <w:lang w:val="en-US"/>
        </w:rPr>
        <w:t xml:space="preserve"> a</w:t>
      </w:r>
      <w:r w:rsidRPr="002401A7">
        <w:rPr>
          <w:rFonts w:ascii="Arial Narrow" w:hAnsi="Arial Narrow"/>
          <w:sz w:val="22"/>
          <w:szCs w:val="22"/>
          <w:u w:val="single"/>
          <w:lang w:val="en-US"/>
        </w:rPr>
        <w:t xml:space="preserve"> 12-month remediation period for passive breaches of thresholds</w:t>
      </w:r>
      <w:r w:rsidRPr="002401A7">
        <w:rPr>
          <w:rFonts w:ascii="Arial Narrow" w:hAnsi="Arial Narrow"/>
          <w:sz w:val="22"/>
          <w:szCs w:val="22"/>
          <w:lang w:val="en-US"/>
        </w:rPr>
        <w:t xml:space="preserve">: It is key for a correct and stable operation of the thresholds that avoids legal uncertainty and unnecessary operational costs. In addition, a term such as the one proposed, allows sufficient flexibility to adapt to changing definitions and concepts such as those that arise around a constantly evolving regulation such as the sustainable finance regulation. </w:t>
      </w:r>
    </w:p>
    <w:p w14:paraId="3841E75F" w14:textId="77777777" w:rsidR="002401A7" w:rsidRPr="002401A7" w:rsidRDefault="002401A7" w:rsidP="002401A7">
      <w:pPr>
        <w:jc w:val="both"/>
        <w:rPr>
          <w:rFonts w:ascii="Arial Narrow" w:hAnsi="Arial Narrow"/>
          <w:sz w:val="22"/>
          <w:szCs w:val="22"/>
          <w:u w:val="single"/>
          <w:lang w:val="en-US"/>
        </w:rPr>
      </w:pPr>
    </w:p>
    <w:p w14:paraId="5355E94C" w14:textId="77777777" w:rsidR="002401A7" w:rsidRPr="002401A7" w:rsidRDefault="002401A7" w:rsidP="00057085">
      <w:pPr>
        <w:numPr>
          <w:ilvl w:val="0"/>
          <w:numId w:val="43"/>
        </w:numPr>
        <w:ind w:left="360"/>
        <w:jc w:val="both"/>
        <w:rPr>
          <w:rFonts w:ascii="Arial Narrow" w:hAnsi="Arial Narrow"/>
          <w:sz w:val="22"/>
          <w:szCs w:val="22"/>
          <w:lang w:val="en-US"/>
        </w:rPr>
      </w:pPr>
      <w:r w:rsidRPr="002401A7">
        <w:rPr>
          <w:rFonts w:ascii="Arial Narrow" w:hAnsi="Arial Narrow"/>
          <w:sz w:val="22"/>
          <w:szCs w:val="22"/>
          <w:u w:val="single"/>
          <w:lang w:val="en-US"/>
        </w:rPr>
        <w:t>Publication of an open list of terms related to ESG and sustainability</w:t>
      </w:r>
      <w:r w:rsidRPr="002401A7">
        <w:rPr>
          <w:rFonts w:ascii="Arial Narrow" w:hAnsi="Arial Narrow"/>
          <w:sz w:val="22"/>
          <w:szCs w:val="22"/>
          <w:lang w:val="en-US"/>
        </w:rPr>
        <w:t>: For the sake of legal certainty, as well as to avoid the proliferation of divergent criteria at the local level, at least an open list of terms should be provided (which ESMA may feed as market practice evolves).</w:t>
      </w:r>
    </w:p>
    <w:p w14:paraId="29ABEB43" w14:textId="3323E3B7" w:rsidR="00B92885" w:rsidRPr="002401A7" w:rsidRDefault="00B92885" w:rsidP="002401A7">
      <w:pPr>
        <w:rPr>
          <w:lang w:val="en-US"/>
        </w:rPr>
      </w:pPr>
    </w:p>
    <w:permEnd w:id="1539323392"/>
    <w:p w14:paraId="436D4354" w14:textId="77777777" w:rsidR="00B92885" w:rsidRDefault="00B92885" w:rsidP="00B92885">
      <w:r>
        <w:t>&lt;ESMA_QUESTION_FUNA_5&gt;</w:t>
      </w:r>
    </w:p>
    <w:p w14:paraId="51BCCD20" w14:textId="77777777" w:rsidR="00B92885" w:rsidRDefault="00B92885" w:rsidP="00B92885"/>
    <w:p w14:paraId="531615C6" w14:textId="77777777" w:rsidR="00B92885" w:rsidRDefault="00B92885" w:rsidP="00057085">
      <w:pPr>
        <w:pStyle w:val="Questionstyle"/>
        <w:numPr>
          <w:ilvl w:val="0"/>
          <w:numId w:val="37"/>
        </w:numPr>
      </w:pPr>
      <w:r>
        <w:t xml:space="preserve">: </w:t>
      </w:r>
      <w:r w:rsidRPr="000B78F5">
        <w:t>Do you agree with the need for minimum safeguards for investment funds with an ESG- or sustainability-related term in their name? Should such safeguards be based on the exclusion criteria such as Commission Delegated Regulation (EU) 2020/1818 Article 12(1)-(2)? If not, explain why and provide an alternative proposal.</w:t>
      </w:r>
    </w:p>
    <w:p w14:paraId="114E1BE8" w14:textId="77777777" w:rsidR="00B92885" w:rsidRDefault="00B92885" w:rsidP="00B92885">
      <w:r>
        <w:t>&lt;ESMA_QUESTION_FUNA_6&gt;</w:t>
      </w:r>
    </w:p>
    <w:p w14:paraId="415AA28A" w14:textId="77777777" w:rsidR="00E37100" w:rsidRDefault="00E37100" w:rsidP="002401A7">
      <w:pPr>
        <w:rPr>
          <w:rFonts w:ascii="Arial Narrow" w:eastAsia="Calibri" w:hAnsi="Arial Narrow"/>
          <w:sz w:val="22"/>
          <w:szCs w:val="22"/>
          <w:lang w:val="en-US" w:eastAsia="en-US"/>
        </w:rPr>
      </w:pPr>
      <w:permStart w:id="175976681" w:edGrp="everyone"/>
    </w:p>
    <w:p w14:paraId="3D9C1F22" w14:textId="70122851" w:rsidR="002401A7" w:rsidRDefault="002401A7" w:rsidP="005211D0">
      <w:pPr>
        <w:jc w:val="both"/>
        <w:rPr>
          <w:rFonts w:ascii="Arial Narrow" w:eastAsia="Calibri" w:hAnsi="Arial Narrow"/>
          <w:sz w:val="22"/>
          <w:szCs w:val="22"/>
          <w:lang w:val="en-US" w:eastAsia="en-US"/>
        </w:rPr>
      </w:pPr>
      <w:r w:rsidRPr="002401A7">
        <w:rPr>
          <w:rFonts w:ascii="Arial Narrow" w:eastAsia="Calibri" w:hAnsi="Arial Narrow"/>
          <w:sz w:val="22"/>
          <w:szCs w:val="22"/>
          <w:lang w:val="en-US" w:eastAsia="en-US"/>
        </w:rPr>
        <w:t xml:space="preserve">Among all the elements of the </w:t>
      </w:r>
      <w:r w:rsidR="005211D0">
        <w:rPr>
          <w:rFonts w:ascii="Arial Narrow" w:eastAsia="Calibri" w:hAnsi="Arial Narrow"/>
          <w:sz w:val="22"/>
          <w:szCs w:val="22"/>
          <w:lang w:val="en-US" w:eastAsia="en-US"/>
        </w:rPr>
        <w:t xml:space="preserve">draft </w:t>
      </w:r>
      <w:r w:rsidRPr="002401A7">
        <w:rPr>
          <w:rFonts w:ascii="Arial Narrow" w:eastAsia="Calibri" w:hAnsi="Arial Narrow"/>
          <w:sz w:val="22"/>
          <w:szCs w:val="22"/>
          <w:lang w:val="en-US" w:eastAsia="en-US"/>
        </w:rPr>
        <w:t xml:space="preserve">Guidelines, the </w:t>
      </w:r>
      <w:r w:rsidR="005211D0">
        <w:rPr>
          <w:rFonts w:ascii="Arial Narrow" w:eastAsia="Calibri" w:hAnsi="Arial Narrow"/>
          <w:sz w:val="22"/>
          <w:szCs w:val="22"/>
          <w:lang w:val="en-US" w:eastAsia="en-US"/>
        </w:rPr>
        <w:t xml:space="preserve">proposed </w:t>
      </w:r>
      <w:r w:rsidRPr="002401A7">
        <w:rPr>
          <w:rFonts w:ascii="Arial Narrow" w:eastAsia="Calibri" w:hAnsi="Arial Narrow"/>
          <w:sz w:val="22"/>
          <w:szCs w:val="22"/>
          <w:lang w:val="en-US" w:eastAsia="en-US"/>
        </w:rPr>
        <w:t xml:space="preserve">additional minimum safeguards </w:t>
      </w:r>
      <w:r w:rsidR="005211D0">
        <w:rPr>
          <w:rFonts w:ascii="Arial Narrow" w:eastAsia="Calibri" w:hAnsi="Arial Narrow"/>
          <w:sz w:val="22"/>
          <w:szCs w:val="22"/>
          <w:lang w:val="en-US" w:eastAsia="en-US"/>
        </w:rPr>
        <w:t xml:space="preserve">are </w:t>
      </w:r>
      <w:r w:rsidRPr="002401A7">
        <w:rPr>
          <w:rFonts w:ascii="Arial Narrow" w:eastAsia="Calibri" w:hAnsi="Arial Narrow"/>
          <w:sz w:val="22"/>
          <w:szCs w:val="22"/>
          <w:lang w:val="en-US" w:eastAsia="en-US"/>
        </w:rPr>
        <w:t>considered particularly inappropriate.</w:t>
      </w:r>
    </w:p>
    <w:p w14:paraId="51404578" w14:textId="77777777" w:rsidR="002401A7" w:rsidRPr="002401A7" w:rsidRDefault="002401A7" w:rsidP="005211D0">
      <w:pPr>
        <w:jc w:val="both"/>
        <w:rPr>
          <w:rFonts w:ascii="Arial Narrow" w:eastAsia="Calibri" w:hAnsi="Arial Narrow"/>
          <w:sz w:val="22"/>
          <w:szCs w:val="22"/>
          <w:lang w:val="en-US" w:eastAsia="en-US"/>
        </w:rPr>
      </w:pPr>
    </w:p>
    <w:p w14:paraId="296329A7" w14:textId="72BBCB39" w:rsidR="002401A7" w:rsidRDefault="005211D0" w:rsidP="005211D0">
      <w:pPr>
        <w:jc w:val="both"/>
        <w:rPr>
          <w:rFonts w:ascii="Arial Narrow" w:eastAsia="Calibri" w:hAnsi="Arial Narrow"/>
          <w:sz w:val="22"/>
          <w:szCs w:val="22"/>
          <w:lang w:val="en-US" w:eastAsia="en-US"/>
        </w:rPr>
      </w:pPr>
      <w:r>
        <w:rPr>
          <w:rFonts w:ascii="Arial Narrow" w:eastAsia="Calibri" w:hAnsi="Arial Narrow"/>
          <w:sz w:val="22"/>
          <w:szCs w:val="22"/>
          <w:lang w:val="en-US" w:eastAsia="en-US"/>
        </w:rPr>
        <w:t>On the one hand</w:t>
      </w:r>
      <w:r w:rsidR="002401A7" w:rsidRPr="002401A7">
        <w:rPr>
          <w:rFonts w:ascii="Arial Narrow" w:eastAsia="Calibri" w:hAnsi="Arial Narrow"/>
          <w:sz w:val="22"/>
          <w:szCs w:val="22"/>
          <w:lang w:val="en-US" w:eastAsia="en-US"/>
        </w:rPr>
        <w:t xml:space="preserve">, because it would be a matter of substantive product regulation that </w:t>
      </w:r>
      <w:r>
        <w:rPr>
          <w:rFonts w:ascii="Arial Narrow" w:eastAsia="Calibri" w:hAnsi="Arial Narrow"/>
          <w:sz w:val="22"/>
          <w:szCs w:val="22"/>
          <w:lang w:val="en-US" w:eastAsia="en-US"/>
        </w:rPr>
        <w:t xml:space="preserve">must </w:t>
      </w:r>
      <w:r w:rsidR="002401A7" w:rsidRPr="002401A7">
        <w:rPr>
          <w:rFonts w:ascii="Arial Narrow" w:eastAsia="Calibri" w:hAnsi="Arial Narrow"/>
          <w:sz w:val="22"/>
          <w:szCs w:val="22"/>
          <w:lang w:val="en-US" w:eastAsia="en-US"/>
        </w:rPr>
        <w:t>not be addressed via</w:t>
      </w:r>
      <w:r>
        <w:rPr>
          <w:rFonts w:ascii="Arial Narrow" w:eastAsia="Calibri" w:hAnsi="Arial Narrow"/>
          <w:sz w:val="22"/>
          <w:szCs w:val="22"/>
          <w:lang w:val="en-US" w:eastAsia="en-US"/>
        </w:rPr>
        <w:t xml:space="preserve"> ESMA</w:t>
      </w:r>
      <w:r w:rsidR="002401A7" w:rsidRPr="002401A7">
        <w:rPr>
          <w:rFonts w:ascii="Arial Narrow" w:eastAsia="Calibri" w:hAnsi="Arial Narrow"/>
          <w:sz w:val="22"/>
          <w:szCs w:val="22"/>
          <w:lang w:val="en-US" w:eastAsia="en-US"/>
        </w:rPr>
        <w:t xml:space="preserve"> Guidelines, but rather within the regulation of eco-labels or the amendment of the current disclosure regulation, a matter for which the intervention of the European co-legislators is necessary. </w:t>
      </w:r>
    </w:p>
    <w:p w14:paraId="2A963F2E" w14:textId="77777777" w:rsidR="002401A7" w:rsidRPr="002401A7" w:rsidRDefault="002401A7" w:rsidP="005211D0">
      <w:pPr>
        <w:jc w:val="both"/>
        <w:rPr>
          <w:rFonts w:ascii="Arial Narrow" w:eastAsia="Calibri" w:hAnsi="Arial Narrow"/>
          <w:sz w:val="22"/>
          <w:szCs w:val="22"/>
          <w:lang w:val="en-US" w:eastAsia="en-US"/>
        </w:rPr>
      </w:pPr>
    </w:p>
    <w:p w14:paraId="3B78615B" w14:textId="77777777" w:rsidR="002401A7" w:rsidRDefault="002401A7" w:rsidP="005211D0">
      <w:pPr>
        <w:jc w:val="both"/>
        <w:rPr>
          <w:rFonts w:ascii="Arial Narrow" w:eastAsia="Calibri" w:hAnsi="Arial Narrow"/>
          <w:sz w:val="22"/>
          <w:szCs w:val="22"/>
          <w:lang w:val="en-US" w:eastAsia="en-US"/>
        </w:rPr>
      </w:pPr>
      <w:r w:rsidRPr="002401A7">
        <w:rPr>
          <w:rFonts w:ascii="Arial Narrow" w:eastAsia="Calibri" w:hAnsi="Arial Narrow"/>
          <w:sz w:val="22"/>
          <w:szCs w:val="22"/>
          <w:lang w:val="en-US" w:eastAsia="en-US"/>
        </w:rPr>
        <w:t>On the other hand, it is not appropriate to apply the exclusions of the EU Paris-aligned Benchmarks (PAB) so that the Funds can use ESG terminology in their denomination, as it would be inconsistent with applicable regulations:</w:t>
      </w:r>
    </w:p>
    <w:p w14:paraId="5C41BE63" w14:textId="6102976F" w:rsidR="002401A7" w:rsidRPr="002401A7" w:rsidRDefault="002401A7" w:rsidP="005211D0">
      <w:pPr>
        <w:jc w:val="both"/>
        <w:rPr>
          <w:rFonts w:ascii="Arial Narrow" w:eastAsia="Calibri" w:hAnsi="Arial Narrow"/>
          <w:sz w:val="22"/>
          <w:szCs w:val="22"/>
          <w:lang w:val="en-US" w:eastAsia="en-US"/>
        </w:rPr>
      </w:pPr>
      <w:r w:rsidRPr="002401A7">
        <w:rPr>
          <w:rFonts w:ascii="Arial Narrow" w:eastAsia="Calibri" w:hAnsi="Arial Narrow"/>
          <w:sz w:val="22"/>
          <w:szCs w:val="22"/>
          <w:lang w:val="en-US" w:eastAsia="en-US"/>
        </w:rPr>
        <w:t xml:space="preserve"> </w:t>
      </w:r>
    </w:p>
    <w:p w14:paraId="6131CA2F" w14:textId="2D45B484" w:rsidR="002401A7" w:rsidRPr="002401A7" w:rsidRDefault="002401A7" w:rsidP="00057085">
      <w:pPr>
        <w:numPr>
          <w:ilvl w:val="0"/>
          <w:numId w:val="46"/>
        </w:numPr>
        <w:ind w:left="360"/>
        <w:jc w:val="both"/>
        <w:rPr>
          <w:rFonts w:ascii="Arial Narrow" w:eastAsia="Calibri" w:hAnsi="Arial Narrow"/>
          <w:sz w:val="22"/>
          <w:szCs w:val="22"/>
          <w:lang w:val="en-US" w:eastAsia="en-US"/>
        </w:rPr>
      </w:pPr>
      <w:r w:rsidRPr="002401A7">
        <w:rPr>
          <w:rFonts w:ascii="Arial Narrow" w:eastAsia="Calibri" w:hAnsi="Arial Narrow"/>
          <w:sz w:val="22"/>
          <w:szCs w:val="22"/>
          <w:lang w:val="en-US" w:eastAsia="en-US"/>
        </w:rPr>
        <w:t>The EU Climate Transition Benchmarks (CTB) do not apply the same exclusions and their name, chosen by the European legislator, includes the term "climate transition". It make</w:t>
      </w:r>
      <w:r w:rsidR="005E396E">
        <w:rPr>
          <w:rFonts w:ascii="Arial Narrow" w:eastAsia="Calibri" w:hAnsi="Arial Narrow"/>
          <w:sz w:val="22"/>
          <w:szCs w:val="22"/>
          <w:lang w:val="en-US" w:eastAsia="en-US"/>
        </w:rPr>
        <w:t>s no</w:t>
      </w:r>
      <w:r w:rsidRPr="002401A7">
        <w:rPr>
          <w:rFonts w:ascii="Arial Narrow" w:eastAsia="Calibri" w:hAnsi="Arial Narrow"/>
          <w:sz w:val="22"/>
          <w:szCs w:val="22"/>
          <w:lang w:val="en-US" w:eastAsia="en-US"/>
        </w:rPr>
        <w:t xml:space="preserve"> sense that the term “climate transition” is prohibited in the name of funds </w:t>
      </w:r>
      <w:r w:rsidR="003211D9">
        <w:rPr>
          <w:rFonts w:ascii="Arial Narrow" w:eastAsia="Calibri" w:hAnsi="Arial Narrow"/>
          <w:sz w:val="22"/>
          <w:szCs w:val="22"/>
          <w:lang w:val="en-US" w:eastAsia="en-US"/>
        </w:rPr>
        <w:t>with investments equivalent to those included in a CTB</w:t>
      </w:r>
      <w:r w:rsidRPr="002401A7">
        <w:rPr>
          <w:rFonts w:ascii="Arial Narrow" w:eastAsia="Calibri" w:hAnsi="Arial Narrow"/>
          <w:sz w:val="22"/>
          <w:szCs w:val="22"/>
          <w:lang w:val="en-US" w:eastAsia="en-US"/>
        </w:rPr>
        <w:t xml:space="preserve">. </w:t>
      </w:r>
    </w:p>
    <w:p w14:paraId="4E264E55" w14:textId="77777777" w:rsidR="002401A7" w:rsidRPr="002401A7" w:rsidRDefault="002401A7" w:rsidP="005211D0">
      <w:pPr>
        <w:ind w:left="-360"/>
        <w:jc w:val="both"/>
        <w:rPr>
          <w:rFonts w:ascii="Arial Narrow" w:eastAsia="Calibri" w:hAnsi="Arial Narrow"/>
          <w:sz w:val="22"/>
          <w:szCs w:val="22"/>
          <w:lang w:val="en-US" w:eastAsia="en-US"/>
        </w:rPr>
      </w:pPr>
    </w:p>
    <w:p w14:paraId="2E97E3E1" w14:textId="00F3A39E" w:rsidR="002401A7" w:rsidRPr="002401A7" w:rsidRDefault="002401A7" w:rsidP="00057085">
      <w:pPr>
        <w:numPr>
          <w:ilvl w:val="0"/>
          <w:numId w:val="46"/>
        </w:numPr>
        <w:ind w:left="360"/>
        <w:jc w:val="both"/>
        <w:rPr>
          <w:rFonts w:ascii="Arial Narrow" w:eastAsia="Calibri" w:hAnsi="Arial Narrow"/>
          <w:sz w:val="22"/>
          <w:szCs w:val="22"/>
          <w:lang w:val="en-US" w:eastAsia="en-US"/>
        </w:rPr>
      </w:pPr>
      <w:r w:rsidRPr="002401A7">
        <w:rPr>
          <w:rFonts w:ascii="Arial Narrow" w:eastAsia="Calibri" w:hAnsi="Arial Narrow"/>
          <w:sz w:val="22"/>
          <w:szCs w:val="22"/>
          <w:lang w:val="en-US" w:eastAsia="en-US"/>
        </w:rPr>
        <w:lastRenderedPageBreak/>
        <w:t>SFDR refers to products subject to art</w:t>
      </w:r>
      <w:r w:rsidR="005E396E">
        <w:rPr>
          <w:rFonts w:ascii="Arial Narrow" w:eastAsia="Calibri" w:hAnsi="Arial Narrow"/>
          <w:sz w:val="22"/>
          <w:szCs w:val="22"/>
          <w:lang w:val="en-US" w:eastAsia="en-US"/>
        </w:rPr>
        <w:t>s.</w:t>
      </w:r>
      <w:r w:rsidRPr="002401A7">
        <w:rPr>
          <w:rFonts w:ascii="Arial Narrow" w:eastAsia="Calibri" w:hAnsi="Arial Narrow"/>
          <w:sz w:val="22"/>
          <w:szCs w:val="22"/>
          <w:lang w:val="en-US" w:eastAsia="en-US"/>
        </w:rPr>
        <w:t xml:space="preserve"> 8 and 9 using terms related to sustainability (e.g. "promotion of environmental or social characteristics" or "sustainable investment objective"). It would be confusing for investors that a product subject to a regulation that recognizes that it "promotes environmental or social features" could not include any of these terms in its name (unless it complies with all the exclusions applicable to PAB).</w:t>
      </w:r>
    </w:p>
    <w:p w14:paraId="33043A0E" w14:textId="77777777" w:rsidR="002401A7" w:rsidRDefault="002401A7" w:rsidP="005211D0">
      <w:pPr>
        <w:ind w:left="-360"/>
        <w:jc w:val="both"/>
        <w:rPr>
          <w:rFonts w:ascii="Arial Narrow" w:eastAsia="Calibri" w:hAnsi="Arial Narrow"/>
          <w:sz w:val="22"/>
          <w:szCs w:val="22"/>
          <w:lang w:val="en-US" w:eastAsia="en-US"/>
        </w:rPr>
      </w:pPr>
    </w:p>
    <w:p w14:paraId="140DEFC7" w14:textId="5E2E64A6" w:rsidR="002401A7" w:rsidRPr="002401A7" w:rsidRDefault="002401A7" w:rsidP="005E396E">
      <w:pPr>
        <w:jc w:val="both"/>
        <w:rPr>
          <w:rFonts w:ascii="Arial Narrow" w:eastAsia="Calibri" w:hAnsi="Arial Narrow"/>
          <w:sz w:val="22"/>
          <w:szCs w:val="22"/>
          <w:lang w:val="en-US" w:eastAsia="en-US"/>
        </w:rPr>
      </w:pPr>
      <w:r w:rsidRPr="002401A7">
        <w:rPr>
          <w:rFonts w:ascii="Arial Narrow" w:eastAsia="Calibri" w:hAnsi="Arial Narrow"/>
          <w:sz w:val="22"/>
          <w:szCs w:val="22"/>
          <w:lang w:val="en-US" w:eastAsia="en-US"/>
        </w:rPr>
        <w:t xml:space="preserve">Finally, criteria of this type make sustainability an unacceptable commitment for </w:t>
      </w:r>
      <w:r w:rsidR="005E396E">
        <w:rPr>
          <w:rFonts w:ascii="Arial Narrow" w:eastAsia="Calibri" w:hAnsi="Arial Narrow"/>
          <w:sz w:val="22"/>
          <w:szCs w:val="22"/>
          <w:lang w:val="en-US" w:eastAsia="en-US"/>
        </w:rPr>
        <w:t xml:space="preserve">Fund managers </w:t>
      </w:r>
      <w:r w:rsidRPr="002401A7">
        <w:rPr>
          <w:rFonts w:ascii="Arial Narrow" w:eastAsia="Calibri" w:hAnsi="Arial Narrow"/>
          <w:sz w:val="22"/>
          <w:szCs w:val="22"/>
          <w:lang w:val="en-US" w:eastAsia="en-US"/>
        </w:rPr>
        <w:t>who, in the absence of data and scarcity of sustainable assets, must continue to</w:t>
      </w:r>
      <w:r w:rsidRPr="002401A7">
        <w:rPr>
          <w:sz w:val="22"/>
          <w:szCs w:val="22"/>
          <w:lang w:val="en-US"/>
        </w:rPr>
        <w:t xml:space="preserve"> </w:t>
      </w:r>
      <w:r w:rsidRPr="002401A7">
        <w:rPr>
          <w:rFonts w:ascii="Arial Narrow" w:eastAsia="Calibri" w:hAnsi="Arial Narrow"/>
          <w:sz w:val="22"/>
          <w:szCs w:val="22"/>
          <w:lang w:val="en-US" w:eastAsia="en-US"/>
        </w:rPr>
        <w:t>build diversified portfolios. In the current situation, ESMA should avoid that those managers are prevented from launching more funds with a sustainable bias because they cannot even be sold as such.</w:t>
      </w:r>
    </w:p>
    <w:p w14:paraId="7C9157FD" w14:textId="4BB785CE" w:rsidR="00B92885" w:rsidRPr="002401A7" w:rsidRDefault="00B92885" w:rsidP="00B92885">
      <w:pPr>
        <w:rPr>
          <w:rFonts w:ascii="Arial Narrow" w:eastAsia="Calibri" w:hAnsi="Arial Narrow"/>
          <w:sz w:val="22"/>
          <w:szCs w:val="22"/>
          <w:lang w:val="en-US" w:eastAsia="en-US"/>
        </w:rPr>
      </w:pPr>
    </w:p>
    <w:permEnd w:id="175976681"/>
    <w:p w14:paraId="6EE97467" w14:textId="77777777" w:rsidR="00B92885" w:rsidRDefault="00B92885" w:rsidP="00B92885">
      <w:r>
        <w:t>&lt;ESMA_QUESTION_FUNA_6&gt;</w:t>
      </w:r>
    </w:p>
    <w:p w14:paraId="0D23780D" w14:textId="77777777" w:rsidR="00B92885" w:rsidRDefault="00B92885" w:rsidP="00B92885"/>
    <w:p w14:paraId="24C13C1A" w14:textId="77777777" w:rsidR="00B92885" w:rsidRDefault="00B92885" w:rsidP="00057085">
      <w:pPr>
        <w:pStyle w:val="Questionstyle"/>
        <w:numPr>
          <w:ilvl w:val="0"/>
          <w:numId w:val="37"/>
        </w:numPr>
      </w:pPr>
      <w:r>
        <w:t xml:space="preserve">: </w:t>
      </w:r>
      <w:r w:rsidRPr="000B78F5">
        <w:t xml:space="preserve">Do you think that, for the purpose of these Guidelines, derivatives should be subject to specific provisions for calculating thresholds? </w:t>
      </w:r>
    </w:p>
    <w:p w14:paraId="242B7FD3" w14:textId="77777777" w:rsidR="00B92885" w:rsidRDefault="00B92885" w:rsidP="00B92885">
      <w:r>
        <w:t>&lt;ESMA_QUESTION_FUNA_7&gt;</w:t>
      </w:r>
    </w:p>
    <w:p w14:paraId="08559D52" w14:textId="77777777" w:rsidR="00E37100" w:rsidRDefault="00E37100" w:rsidP="00196B89">
      <w:pPr>
        <w:tabs>
          <w:tab w:val="left" w:pos="-284"/>
        </w:tabs>
        <w:spacing w:after="160" w:line="259" w:lineRule="auto"/>
        <w:ind w:right="-284"/>
        <w:jc w:val="both"/>
        <w:rPr>
          <w:rFonts w:ascii="Arial Narrow" w:eastAsia="Calibri" w:hAnsi="Arial Narrow"/>
          <w:sz w:val="22"/>
          <w:szCs w:val="22"/>
          <w:lang w:val="en-US" w:eastAsia="en-US"/>
        </w:rPr>
      </w:pPr>
      <w:permStart w:id="576722602" w:edGrp="everyone"/>
    </w:p>
    <w:p w14:paraId="4976D9A3" w14:textId="4D1A6305" w:rsidR="00196B89" w:rsidRPr="00196B89" w:rsidRDefault="00196B89" w:rsidP="00196B89">
      <w:pPr>
        <w:tabs>
          <w:tab w:val="left" w:pos="-284"/>
        </w:tabs>
        <w:spacing w:after="160" w:line="259" w:lineRule="auto"/>
        <w:ind w:right="-284"/>
        <w:jc w:val="both"/>
        <w:rPr>
          <w:rFonts w:ascii="Arial Narrow" w:eastAsia="Calibri" w:hAnsi="Arial Narrow"/>
          <w:sz w:val="22"/>
          <w:szCs w:val="22"/>
          <w:lang w:val="en-US" w:eastAsia="en-US"/>
        </w:rPr>
      </w:pPr>
      <w:r w:rsidRPr="00196B89">
        <w:rPr>
          <w:rFonts w:ascii="Arial Narrow" w:eastAsia="Calibri" w:hAnsi="Arial Narrow"/>
          <w:sz w:val="22"/>
          <w:szCs w:val="22"/>
          <w:lang w:val="en-US" w:eastAsia="en-US"/>
        </w:rPr>
        <w:t xml:space="preserve">As a matter of regulatory consistency, derivatives should not be included in the calculation of the proposed thresholds. </w:t>
      </w:r>
    </w:p>
    <w:p w14:paraId="6F881E39" w14:textId="2ACBA847" w:rsidR="00196B89" w:rsidRPr="00196B89" w:rsidRDefault="00196B89" w:rsidP="00196B89">
      <w:pPr>
        <w:tabs>
          <w:tab w:val="left" w:pos="-284"/>
        </w:tabs>
        <w:spacing w:after="160" w:line="259" w:lineRule="auto"/>
        <w:ind w:right="-284"/>
        <w:jc w:val="both"/>
        <w:rPr>
          <w:rFonts w:ascii="Arial Narrow" w:eastAsia="Calibri" w:hAnsi="Arial Narrow"/>
          <w:sz w:val="22"/>
          <w:szCs w:val="22"/>
          <w:lang w:val="en-US" w:eastAsia="en-US"/>
        </w:rPr>
      </w:pPr>
      <w:r w:rsidRPr="00196B89">
        <w:rPr>
          <w:rFonts w:ascii="Arial Narrow" w:eastAsia="Calibri" w:hAnsi="Arial Narrow"/>
          <w:sz w:val="22"/>
          <w:szCs w:val="22"/>
          <w:lang w:val="en-US" w:eastAsia="en-US"/>
        </w:rPr>
        <w:t xml:space="preserve">However, the criterion adopted for calculating the </w:t>
      </w:r>
      <w:r w:rsidR="003C3B14">
        <w:rPr>
          <w:rFonts w:ascii="Arial Narrow" w:eastAsia="Calibri" w:hAnsi="Arial Narrow"/>
          <w:sz w:val="22"/>
          <w:szCs w:val="22"/>
          <w:lang w:val="en-US" w:eastAsia="en-US"/>
        </w:rPr>
        <w:t xml:space="preserve">KPI developed to disclose information referred to in art. 8 of </w:t>
      </w:r>
      <w:r w:rsidRPr="00196B89">
        <w:rPr>
          <w:rFonts w:ascii="Arial Narrow" w:eastAsia="Calibri" w:hAnsi="Arial Narrow"/>
          <w:sz w:val="22"/>
          <w:szCs w:val="22"/>
          <w:lang w:val="en-US" w:eastAsia="en-US"/>
        </w:rPr>
        <w:t xml:space="preserve">Taxonomy Regulation </w:t>
      </w:r>
      <w:r w:rsidR="003C3B14">
        <w:rPr>
          <w:rFonts w:ascii="Arial Narrow" w:eastAsia="Calibri" w:hAnsi="Arial Narrow"/>
          <w:sz w:val="22"/>
          <w:szCs w:val="22"/>
          <w:lang w:val="en-US" w:eastAsia="en-US"/>
        </w:rPr>
        <w:t xml:space="preserve">as regards derivatives </w:t>
      </w:r>
      <w:r w:rsidRPr="00196B89">
        <w:rPr>
          <w:rFonts w:ascii="Arial Narrow" w:eastAsia="Calibri" w:hAnsi="Arial Narrow"/>
          <w:sz w:val="22"/>
          <w:szCs w:val="22"/>
          <w:lang w:val="en-US" w:eastAsia="en-US"/>
        </w:rPr>
        <w:t>is debatable. They may not be the most direct way of financing sustainable companies, but they can be an instrument that, from a financial point of view, facilitates the transition.</w:t>
      </w:r>
    </w:p>
    <w:p w14:paraId="53FC7302" w14:textId="4A906154" w:rsidR="00196B89" w:rsidRPr="00196B89" w:rsidRDefault="003C3B14" w:rsidP="00196B89">
      <w:pPr>
        <w:tabs>
          <w:tab w:val="left" w:pos="-284"/>
        </w:tabs>
        <w:spacing w:after="160" w:line="259" w:lineRule="auto"/>
        <w:ind w:right="-284"/>
        <w:jc w:val="both"/>
        <w:rPr>
          <w:rFonts w:ascii="Arial Narrow" w:eastAsia="Calibri" w:hAnsi="Arial Narrow"/>
          <w:sz w:val="22"/>
          <w:szCs w:val="22"/>
          <w:lang w:val="en-US" w:eastAsia="en-US"/>
        </w:rPr>
      </w:pPr>
      <w:r w:rsidRPr="00196B89">
        <w:rPr>
          <w:rFonts w:ascii="Arial Narrow" w:eastAsia="Calibri" w:hAnsi="Arial Narrow"/>
          <w:sz w:val="22"/>
          <w:szCs w:val="22"/>
          <w:lang w:val="en-US" w:eastAsia="en-US"/>
        </w:rPr>
        <w:t>Considering</w:t>
      </w:r>
      <w:r w:rsidR="00196B89" w:rsidRPr="00196B89">
        <w:rPr>
          <w:rFonts w:ascii="Arial Narrow" w:eastAsia="Calibri" w:hAnsi="Arial Narrow"/>
          <w:sz w:val="22"/>
          <w:szCs w:val="22"/>
          <w:lang w:val="en-US" w:eastAsia="en-US"/>
        </w:rPr>
        <w:t xml:space="preserve"> the above, ESMA should look for a consensus on the calculation of thresholds before adopting the final guidelines. A different outcome could expose market participants and underlying investors to a variety of different methodologies as regards the calculation of thresholds which </w:t>
      </w:r>
      <w:r>
        <w:rPr>
          <w:rFonts w:ascii="Arial Narrow" w:eastAsia="Calibri" w:hAnsi="Arial Narrow"/>
          <w:sz w:val="22"/>
          <w:szCs w:val="22"/>
          <w:lang w:val="en-US" w:eastAsia="en-US"/>
        </w:rPr>
        <w:t xml:space="preserve">may be </w:t>
      </w:r>
      <w:r w:rsidR="00196B89" w:rsidRPr="00196B89">
        <w:rPr>
          <w:rFonts w:ascii="Arial Narrow" w:eastAsia="Calibri" w:hAnsi="Arial Narrow"/>
          <w:sz w:val="22"/>
          <w:szCs w:val="22"/>
          <w:lang w:val="en-US" w:eastAsia="en-US"/>
        </w:rPr>
        <w:t>contrary to the aim of the proposed Guidelines.</w:t>
      </w:r>
    </w:p>
    <w:p w14:paraId="33D374FB" w14:textId="26F8BF29" w:rsidR="00B92885" w:rsidRPr="00196B89" w:rsidRDefault="00B92885" w:rsidP="00B92885">
      <w:pPr>
        <w:rPr>
          <w:lang w:val="en-US"/>
        </w:rPr>
      </w:pPr>
    </w:p>
    <w:permEnd w:id="576722602"/>
    <w:p w14:paraId="523B84EB" w14:textId="77777777" w:rsidR="00B92885" w:rsidRDefault="00B92885" w:rsidP="00B92885">
      <w:r>
        <w:t>&lt;ESMA_QUESTION_FUNA_7&gt;</w:t>
      </w:r>
    </w:p>
    <w:p w14:paraId="50670D01" w14:textId="77777777" w:rsidR="00B92885" w:rsidRDefault="00B92885" w:rsidP="00B92885"/>
    <w:p w14:paraId="1C6AACD7" w14:textId="77777777" w:rsidR="00B92885" w:rsidRDefault="00B92885" w:rsidP="00057085">
      <w:pPr>
        <w:pStyle w:val="Questionstyle"/>
        <w:numPr>
          <w:ilvl w:val="0"/>
          <w:numId w:val="38"/>
        </w:numPr>
      </w:pPr>
      <w:r>
        <w:t>Would you suggest the use of the notional value or the market value for the purpose of the calculation of the minimum proportion of investment?</w:t>
      </w:r>
    </w:p>
    <w:p w14:paraId="437586E7" w14:textId="77777777" w:rsidR="00B92885" w:rsidRDefault="00B92885" w:rsidP="00B92885">
      <w:r>
        <w:t>&lt;ESMA_QUESTION_FUNA_1&gt;</w:t>
      </w:r>
    </w:p>
    <w:p w14:paraId="0EC51ABF" w14:textId="77777777" w:rsidR="00B92885" w:rsidRDefault="00B92885" w:rsidP="00B92885">
      <w:permStart w:id="1071974531" w:edGrp="everyone"/>
      <w:r>
        <w:t>TYPE YOUR TEXT HERE</w:t>
      </w:r>
    </w:p>
    <w:permEnd w:id="1071974531"/>
    <w:p w14:paraId="3A9FC829" w14:textId="77777777" w:rsidR="00B92885" w:rsidRDefault="00B92885" w:rsidP="00B92885">
      <w:r>
        <w:t>&lt;ESMA_QUESTION_FUNA_1&gt;</w:t>
      </w:r>
    </w:p>
    <w:p w14:paraId="1ECE9E45" w14:textId="77777777" w:rsidR="00B92885" w:rsidRDefault="00B92885" w:rsidP="00B92885"/>
    <w:p w14:paraId="779A7A94" w14:textId="77777777" w:rsidR="00B92885" w:rsidRDefault="00B92885" w:rsidP="00057085">
      <w:pPr>
        <w:pStyle w:val="Questionstyle"/>
        <w:numPr>
          <w:ilvl w:val="0"/>
          <w:numId w:val="38"/>
        </w:numPr>
      </w:pPr>
      <w:r>
        <w:t>Are there any other measures you would recommend for derivatives for the calculation of the minimum proportion of investments?</w:t>
      </w:r>
    </w:p>
    <w:p w14:paraId="7C5D84D6" w14:textId="77777777" w:rsidR="00B92885" w:rsidRDefault="00B92885" w:rsidP="00B92885">
      <w:r>
        <w:t>&lt;ESMA_QUESTION_FUNA_2&gt;</w:t>
      </w:r>
    </w:p>
    <w:p w14:paraId="2ABDF65C" w14:textId="77777777" w:rsidR="00B92885" w:rsidRDefault="00B92885" w:rsidP="00B92885">
      <w:permStart w:id="1162834929" w:edGrp="everyone"/>
      <w:r>
        <w:t>TYPE YOUR TEXT HERE</w:t>
      </w:r>
    </w:p>
    <w:permEnd w:id="1162834929"/>
    <w:p w14:paraId="54A1018F" w14:textId="77777777" w:rsidR="00B92885" w:rsidRDefault="00B92885" w:rsidP="00B92885">
      <w:r>
        <w:t>&lt;ESMA_QUESTION_FUNA_2&gt;</w:t>
      </w:r>
    </w:p>
    <w:p w14:paraId="3FC5B87F" w14:textId="77777777" w:rsidR="00B92885" w:rsidRDefault="00B92885" w:rsidP="00B92885"/>
    <w:p w14:paraId="1F43A90B" w14:textId="77777777" w:rsidR="00B92885" w:rsidRDefault="00B92885" w:rsidP="00057085">
      <w:pPr>
        <w:pStyle w:val="Questionstyle"/>
        <w:numPr>
          <w:ilvl w:val="0"/>
          <w:numId w:val="37"/>
        </w:numPr>
      </w:pPr>
      <w:r>
        <w:t xml:space="preserve">: </w:t>
      </w:r>
      <w:r w:rsidRPr="000B78F5">
        <w:t>Do you agree that funds designating an index as a reference benchmark should also consider the same requirements for funds’ names as any other fund? If not, explain why and provide an alternative proposal.</w:t>
      </w:r>
    </w:p>
    <w:p w14:paraId="01B8DAB9" w14:textId="77777777" w:rsidR="00B92885" w:rsidRDefault="00B92885" w:rsidP="00B92885">
      <w:r>
        <w:t>&lt;ESMA_QUESTION_FUNA_8&gt;</w:t>
      </w:r>
    </w:p>
    <w:p w14:paraId="48F1CAF1" w14:textId="77777777" w:rsidR="00E37100" w:rsidRDefault="00E37100" w:rsidP="00196B89">
      <w:pPr>
        <w:tabs>
          <w:tab w:val="left" w:pos="-284"/>
        </w:tabs>
        <w:spacing w:after="160" w:line="259" w:lineRule="auto"/>
        <w:ind w:right="-284"/>
        <w:jc w:val="both"/>
        <w:rPr>
          <w:rFonts w:ascii="Arial Narrow" w:eastAsia="Calibri" w:hAnsi="Arial Narrow"/>
          <w:sz w:val="22"/>
          <w:szCs w:val="22"/>
          <w:lang w:val="en-US" w:eastAsia="en-US"/>
        </w:rPr>
      </w:pPr>
      <w:permStart w:id="650455330" w:edGrp="everyone"/>
    </w:p>
    <w:p w14:paraId="7D87C91A" w14:textId="1098950D" w:rsidR="00196B89" w:rsidRPr="00196B89" w:rsidRDefault="00196B89" w:rsidP="00196B89">
      <w:pPr>
        <w:tabs>
          <w:tab w:val="left" w:pos="-284"/>
        </w:tabs>
        <w:spacing w:after="160" w:line="259" w:lineRule="auto"/>
        <w:ind w:right="-284"/>
        <w:jc w:val="both"/>
        <w:rPr>
          <w:rFonts w:ascii="Arial Narrow" w:eastAsia="Calibri" w:hAnsi="Arial Narrow"/>
          <w:sz w:val="22"/>
          <w:szCs w:val="22"/>
          <w:lang w:val="en-US" w:eastAsia="en-US"/>
        </w:rPr>
      </w:pPr>
      <w:r w:rsidRPr="00196B89">
        <w:rPr>
          <w:rFonts w:ascii="Arial Narrow" w:eastAsia="Calibri" w:hAnsi="Arial Narrow"/>
          <w:sz w:val="22"/>
          <w:szCs w:val="22"/>
          <w:lang w:val="en-US" w:eastAsia="en-US"/>
        </w:rPr>
        <w:t xml:space="preserve">No, the approach adopted in the ESMA Supervisory Instructions </w:t>
      </w:r>
      <w:r w:rsidR="003C3B14">
        <w:rPr>
          <w:rFonts w:ascii="Arial Narrow" w:eastAsia="Calibri" w:hAnsi="Arial Narrow"/>
          <w:sz w:val="22"/>
          <w:szCs w:val="22"/>
          <w:lang w:val="en-US" w:eastAsia="en-US"/>
        </w:rPr>
        <w:t>in</w:t>
      </w:r>
      <w:r w:rsidRPr="00196B89">
        <w:rPr>
          <w:rFonts w:ascii="Arial Narrow" w:eastAsia="Calibri" w:hAnsi="Arial Narrow"/>
          <w:sz w:val="22"/>
          <w:szCs w:val="22"/>
          <w:lang w:val="en-US" w:eastAsia="en-US"/>
        </w:rPr>
        <w:t xml:space="preserve"> May 2022, with specific criteria for the naming of </w:t>
      </w:r>
      <w:r w:rsidR="00925149">
        <w:rPr>
          <w:rFonts w:ascii="Arial Narrow" w:eastAsia="Calibri" w:hAnsi="Arial Narrow"/>
          <w:sz w:val="22"/>
          <w:szCs w:val="22"/>
          <w:lang w:val="en-US" w:eastAsia="en-US"/>
        </w:rPr>
        <w:t>F</w:t>
      </w:r>
      <w:r w:rsidRPr="00196B89">
        <w:rPr>
          <w:rFonts w:ascii="Arial Narrow" w:eastAsia="Calibri" w:hAnsi="Arial Narrow"/>
          <w:sz w:val="22"/>
          <w:szCs w:val="22"/>
          <w:lang w:val="en-US" w:eastAsia="en-US"/>
        </w:rPr>
        <w:t xml:space="preserve">unds that replicate an index, would be more appropriate. </w:t>
      </w:r>
    </w:p>
    <w:p w14:paraId="1F538C38" w14:textId="0E812168" w:rsidR="000F0C19" w:rsidRPr="00196B89" w:rsidRDefault="00196B89" w:rsidP="00196B89">
      <w:pPr>
        <w:tabs>
          <w:tab w:val="left" w:pos="-284"/>
        </w:tabs>
        <w:spacing w:after="160" w:line="259" w:lineRule="auto"/>
        <w:ind w:right="-284"/>
        <w:jc w:val="both"/>
        <w:rPr>
          <w:rFonts w:ascii="Arial Narrow" w:eastAsia="Calibri" w:hAnsi="Arial Narrow"/>
          <w:sz w:val="22"/>
          <w:szCs w:val="22"/>
          <w:lang w:val="en-US" w:eastAsia="en-US"/>
        </w:rPr>
      </w:pPr>
      <w:r w:rsidRPr="00196B89">
        <w:rPr>
          <w:rFonts w:ascii="Arial Narrow" w:eastAsia="Calibri" w:hAnsi="Arial Narrow"/>
          <w:sz w:val="22"/>
          <w:szCs w:val="22"/>
          <w:lang w:val="en-US" w:eastAsia="en-US"/>
        </w:rPr>
        <w:t xml:space="preserve">Notwithstanding the above, if the threshold approach is maintained, thresholds should also apply to funds that replicate benchmarks. </w:t>
      </w:r>
      <w:r w:rsidR="000F0C19" w:rsidRPr="000F0C19">
        <w:rPr>
          <w:rFonts w:ascii="Arial Narrow" w:eastAsia="Calibri" w:hAnsi="Arial Narrow"/>
          <w:sz w:val="22"/>
          <w:szCs w:val="22"/>
          <w:lang w:val="en-US" w:eastAsia="en-US"/>
        </w:rPr>
        <w:t>In addition, see answer to question 6, which addresses other issues stemming from the additional minimum safeguards.</w:t>
      </w:r>
    </w:p>
    <w:p w14:paraId="2BABA8E0" w14:textId="18DBE940" w:rsidR="00B92885" w:rsidRPr="00196B89" w:rsidRDefault="00B92885" w:rsidP="00B92885">
      <w:pPr>
        <w:rPr>
          <w:lang w:val="en-US"/>
        </w:rPr>
      </w:pPr>
    </w:p>
    <w:permEnd w:id="650455330"/>
    <w:p w14:paraId="737A5FA8" w14:textId="77777777" w:rsidR="00B92885" w:rsidRDefault="00B92885" w:rsidP="00B92885">
      <w:r>
        <w:t>&lt;ESMA_QUESTION_FUNA_8&gt;</w:t>
      </w:r>
    </w:p>
    <w:p w14:paraId="38B4AF69" w14:textId="77777777" w:rsidR="00B92885" w:rsidRDefault="00B92885" w:rsidP="00B92885"/>
    <w:p w14:paraId="06BA20E5" w14:textId="77777777" w:rsidR="00B92885" w:rsidRDefault="00B92885" w:rsidP="00057085">
      <w:pPr>
        <w:pStyle w:val="Questionstyle"/>
        <w:numPr>
          <w:ilvl w:val="0"/>
          <w:numId w:val="37"/>
        </w:numPr>
      </w:pPr>
      <w:r>
        <w:t xml:space="preserve">: </w:t>
      </w:r>
      <w:r w:rsidRPr="000B78F5">
        <w:t>Would you make a distinction between physical and synthetic replication, for example in relation to the collateral held, of an index?</w:t>
      </w:r>
    </w:p>
    <w:p w14:paraId="2D8CAB30" w14:textId="77777777" w:rsidR="00B92885" w:rsidRDefault="00B92885" w:rsidP="00B92885">
      <w:r>
        <w:t>&lt;ESMA_QUESTION_FUNA_9&gt;</w:t>
      </w:r>
    </w:p>
    <w:p w14:paraId="6BF16077" w14:textId="77777777" w:rsidR="00E37100" w:rsidRDefault="00E37100" w:rsidP="00196B89">
      <w:pPr>
        <w:tabs>
          <w:tab w:val="left" w:pos="-284"/>
        </w:tabs>
        <w:ind w:right="-284"/>
        <w:jc w:val="both"/>
        <w:rPr>
          <w:rFonts w:ascii="Arial Narrow" w:eastAsia="Calibri" w:hAnsi="Arial Narrow"/>
          <w:sz w:val="22"/>
          <w:szCs w:val="22"/>
          <w:lang w:val="en-US" w:eastAsia="en-US"/>
        </w:rPr>
      </w:pPr>
      <w:permStart w:id="1876589445" w:edGrp="everyone"/>
    </w:p>
    <w:p w14:paraId="713A1DBB" w14:textId="4C9AC09E" w:rsidR="00196B89" w:rsidRDefault="00196B89" w:rsidP="00196B89">
      <w:pPr>
        <w:tabs>
          <w:tab w:val="left" w:pos="-284"/>
        </w:tabs>
        <w:ind w:right="-284"/>
        <w:jc w:val="both"/>
        <w:rPr>
          <w:rFonts w:ascii="Arial Narrow" w:hAnsi="Arial Narrow"/>
          <w:lang w:val="en-US"/>
        </w:rPr>
      </w:pPr>
      <w:r w:rsidRPr="00196B89">
        <w:rPr>
          <w:rFonts w:ascii="Arial Narrow" w:eastAsia="Calibri" w:hAnsi="Arial Narrow"/>
          <w:sz w:val="22"/>
          <w:szCs w:val="22"/>
          <w:lang w:val="en-US" w:eastAsia="en-US"/>
        </w:rPr>
        <w:t>It depends on the approach taken to derivatives</w:t>
      </w:r>
      <w:r w:rsidRPr="00F1268C">
        <w:rPr>
          <w:rFonts w:ascii="Arial Narrow" w:hAnsi="Arial Narrow"/>
          <w:lang w:val="en-US"/>
        </w:rPr>
        <w:t>.</w:t>
      </w:r>
    </w:p>
    <w:p w14:paraId="67DC5DA4" w14:textId="77777777" w:rsidR="00E37100" w:rsidRDefault="00E37100" w:rsidP="00196B89">
      <w:pPr>
        <w:tabs>
          <w:tab w:val="left" w:pos="-284"/>
        </w:tabs>
        <w:ind w:right="-284"/>
        <w:jc w:val="both"/>
        <w:rPr>
          <w:rFonts w:ascii="Arial Narrow" w:hAnsi="Arial Narrow"/>
          <w:lang w:val="en-US"/>
        </w:rPr>
      </w:pPr>
    </w:p>
    <w:permEnd w:id="1876589445"/>
    <w:p w14:paraId="1B5712A0" w14:textId="77777777" w:rsidR="00B92885" w:rsidRDefault="00B92885" w:rsidP="00B92885">
      <w:r>
        <w:t>&lt;ESMA_QUESTION_FUNA_9&gt;</w:t>
      </w:r>
    </w:p>
    <w:p w14:paraId="76724C94" w14:textId="77777777" w:rsidR="00B92885" w:rsidRDefault="00B92885" w:rsidP="00B92885"/>
    <w:p w14:paraId="19F0BC69" w14:textId="77777777" w:rsidR="00B92885" w:rsidRDefault="00B92885" w:rsidP="00057085">
      <w:pPr>
        <w:pStyle w:val="Questionstyle"/>
        <w:numPr>
          <w:ilvl w:val="0"/>
          <w:numId w:val="37"/>
        </w:numPr>
      </w:pPr>
      <w:r>
        <w:t xml:space="preserve">: </w:t>
      </w:r>
      <w:r w:rsidRPr="000B78F5">
        <w:t>Do you agree of having specific provisions for “impact” or impact-related names in these Guidelines</w:t>
      </w:r>
      <w:r w:rsidRPr="00391CB0">
        <w:t>?</w:t>
      </w:r>
      <w:r>
        <w:t xml:space="preserve"> </w:t>
      </w:r>
    </w:p>
    <w:p w14:paraId="4378B853" w14:textId="77777777" w:rsidR="00B92885" w:rsidRDefault="00B92885" w:rsidP="00B92885">
      <w:r>
        <w:t>&lt;ESMA_QUESTION_FUNA_10&gt;</w:t>
      </w:r>
    </w:p>
    <w:p w14:paraId="3203C4D6" w14:textId="77777777" w:rsidR="00E37100" w:rsidRDefault="00E37100" w:rsidP="00196B89">
      <w:pPr>
        <w:tabs>
          <w:tab w:val="left" w:pos="-284"/>
        </w:tabs>
        <w:spacing w:after="160" w:line="259" w:lineRule="auto"/>
        <w:ind w:right="-284"/>
        <w:jc w:val="both"/>
        <w:rPr>
          <w:rFonts w:ascii="Arial Narrow" w:eastAsia="Calibri" w:hAnsi="Arial Narrow"/>
          <w:sz w:val="22"/>
          <w:szCs w:val="22"/>
          <w:lang w:val="en-US" w:eastAsia="en-US"/>
        </w:rPr>
      </w:pPr>
      <w:permStart w:id="1992309739" w:edGrp="everyone"/>
    </w:p>
    <w:p w14:paraId="515824B0" w14:textId="302C63F7" w:rsidR="00196B89" w:rsidRPr="00196B89" w:rsidRDefault="00196B89" w:rsidP="00196B89">
      <w:pPr>
        <w:tabs>
          <w:tab w:val="left" w:pos="-284"/>
        </w:tabs>
        <w:spacing w:after="160" w:line="259" w:lineRule="auto"/>
        <w:ind w:right="-284"/>
        <w:jc w:val="both"/>
        <w:rPr>
          <w:rFonts w:ascii="Arial Narrow" w:eastAsia="Calibri" w:hAnsi="Arial Narrow"/>
          <w:sz w:val="22"/>
          <w:szCs w:val="22"/>
          <w:lang w:val="en-US" w:eastAsia="en-US"/>
        </w:rPr>
      </w:pPr>
      <w:r w:rsidRPr="00196B89">
        <w:rPr>
          <w:rFonts w:ascii="Arial Narrow" w:eastAsia="Calibri" w:hAnsi="Arial Narrow"/>
          <w:sz w:val="22"/>
          <w:szCs w:val="22"/>
          <w:lang w:val="en-US" w:eastAsia="en-US"/>
        </w:rPr>
        <w:t>Firstly, to have specific provisions for “impact” investing, it would be very useful to have a legal definition of what is considered impact.</w:t>
      </w:r>
    </w:p>
    <w:p w14:paraId="3D844409" w14:textId="0AEB5ACA" w:rsidR="00196B89" w:rsidRPr="00196B89" w:rsidRDefault="00196B89" w:rsidP="00196B89">
      <w:pPr>
        <w:tabs>
          <w:tab w:val="left" w:pos="-284"/>
        </w:tabs>
        <w:spacing w:after="160" w:line="259" w:lineRule="auto"/>
        <w:ind w:right="-284"/>
        <w:jc w:val="both"/>
        <w:rPr>
          <w:rFonts w:ascii="Arial Narrow" w:eastAsia="Calibri" w:hAnsi="Arial Narrow"/>
          <w:sz w:val="22"/>
          <w:szCs w:val="22"/>
          <w:lang w:val="en-US" w:eastAsia="en-US"/>
        </w:rPr>
      </w:pPr>
      <w:r w:rsidRPr="00196B89">
        <w:rPr>
          <w:rFonts w:ascii="Arial Narrow" w:eastAsia="Calibri" w:hAnsi="Arial Narrow"/>
          <w:sz w:val="22"/>
          <w:szCs w:val="22"/>
          <w:lang w:val="en-US" w:eastAsia="en-US"/>
        </w:rPr>
        <w:t>However, since there is no legal definition of “impact” and to avoid further confusing investors/the market, it would be appropriate to include the concept already provided for in the ESMA Supervisory Instructions, which indicates that "impact investment" is that made with the intention of generating a positive and quantifiable social and/or environmental impact, together with financial profitability.</w:t>
      </w:r>
    </w:p>
    <w:p w14:paraId="1632EDC8" w14:textId="6513D2B0" w:rsidR="00196B89" w:rsidRPr="00196B89" w:rsidRDefault="00196B89" w:rsidP="00196B89">
      <w:pPr>
        <w:tabs>
          <w:tab w:val="left" w:pos="-284"/>
        </w:tabs>
        <w:spacing w:after="160" w:line="259" w:lineRule="auto"/>
        <w:ind w:right="-284"/>
        <w:jc w:val="both"/>
        <w:rPr>
          <w:rFonts w:ascii="Arial Narrow" w:eastAsia="Calibri" w:hAnsi="Arial Narrow"/>
          <w:sz w:val="22"/>
          <w:szCs w:val="22"/>
          <w:lang w:val="en-US" w:eastAsia="en-US"/>
        </w:rPr>
      </w:pPr>
      <w:r w:rsidRPr="00196B89">
        <w:rPr>
          <w:rFonts w:ascii="Arial Narrow" w:eastAsia="Calibri" w:hAnsi="Arial Narrow"/>
          <w:sz w:val="22"/>
          <w:szCs w:val="22"/>
          <w:lang w:val="en-US" w:eastAsia="en-US"/>
        </w:rPr>
        <w:t>It is noted that a significant proportion of Funds with a sustainability bias meet the above definition and there is no reason to impose more specific rules on naming.</w:t>
      </w:r>
    </w:p>
    <w:p w14:paraId="09441A21" w14:textId="52BA5DA6" w:rsidR="00B92885" w:rsidRDefault="00B92885" w:rsidP="00B92885"/>
    <w:permEnd w:id="1992309739"/>
    <w:p w14:paraId="14AB0C87" w14:textId="77777777" w:rsidR="00B92885" w:rsidRDefault="00B92885" w:rsidP="00B92885">
      <w:r>
        <w:t>&lt;ESMA_QUESTION_FUNA_10&gt;</w:t>
      </w:r>
    </w:p>
    <w:p w14:paraId="010C54CA" w14:textId="77777777" w:rsidR="00B92885" w:rsidRDefault="00B92885" w:rsidP="00B92885"/>
    <w:p w14:paraId="511D7045" w14:textId="77777777" w:rsidR="00B92885" w:rsidRDefault="00B92885" w:rsidP="00057085">
      <w:pPr>
        <w:pStyle w:val="Questionstyle"/>
        <w:numPr>
          <w:ilvl w:val="0"/>
          <w:numId w:val="37"/>
        </w:numPr>
      </w:pPr>
      <w:r>
        <w:t xml:space="preserve">: </w:t>
      </w:r>
      <w:r w:rsidRPr="00EA2F1C">
        <w:t>Should there be specific provisions for “transition” or transition-related names in these Guidelines? If yes, what should they be?</w:t>
      </w:r>
    </w:p>
    <w:p w14:paraId="7168EB52" w14:textId="77777777" w:rsidR="00B92885" w:rsidRDefault="00B92885" w:rsidP="00B92885">
      <w:r>
        <w:t>&lt;ESMA_QUESTION_FUNA_11&gt;</w:t>
      </w:r>
    </w:p>
    <w:p w14:paraId="5800C257" w14:textId="77777777" w:rsidR="00E37100" w:rsidRDefault="00E37100" w:rsidP="00196B89">
      <w:pPr>
        <w:tabs>
          <w:tab w:val="left" w:pos="-284"/>
        </w:tabs>
        <w:spacing w:after="160" w:line="259" w:lineRule="auto"/>
        <w:ind w:right="-284"/>
        <w:jc w:val="both"/>
        <w:rPr>
          <w:rFonts w:ascii="Arial Narrow" w:eastAsia="Calibri" w:hAnsi="Arial Narrow"/>
          <w:sz w:val="22"/>
          <w:szCs w:val="22"/>
          <w:lang w:val="en-US" w:eastAsia="en-US"/>
        </w:rPr>
      </w:pPr>
      <w:permStart w:id="1423966990" w:edGrp="everyone"/>
    </w:p>
    <w:p w14:paraId="27AEF40C" w14:textId="43F2C20D" w:rsidR="00196B89" w:rsidRPr="00196B89" w:rsidRDefault="00BA0CC3" w:rsidP="00196B89">
      <w:pPr>
        <w:tabs>
          <w:tab w:val="left" w:pos="-284"/>
        </w:tabs>
        <w:spacing w:after="160" w:line="259" w:lineRule="auto"/>
        <w:ind w:right="-284"/>
        <w:jc w:val="both"/>
        <w:rPr>
          <w:rFonts w:ascii="Arial Narrow" w:eastAsia="Calibri" w:hAnsi="Arial Narrow"/>
          <w:sz w:val="22"/>
          <w:szCs w:val="22"/>
          <w:lang w:val="en-US" w:eastAsia="en-US"/>
        </w:rPr>
      </w:pPr>
      <w:r>
        <w:rPr>
          <w:rFonts w:ascii="Arial Narrow" w:eastAsia="Calibri" w:hAnsi="Arial Narrow"/>
          <w:sz w:val="22"/>
          <w:szCs w:val="22"/>
          <w:lang w:val="en-US" w:eastAsia="en-US"/>
        </w:rPr>
        <w:t>T</w:t>
      </w:r>
      <w:r w:rsidRPr="00BA0CC3">
        <w:rPr>
          <w:rFonts w:ascii="Arial Narrow" w:eastAsia="Calibri" w:hAnsi="Arial Narrow"/>
          <w:sz w:val="22"/>
          <w:szCs w:val="22"/>
          <w:lang w:val="en-US" w:eastAsia="en-US"/>
        </w:rPr>
        <w:t>o avoid divergences and asymmetries between jurisdictions</w:t>
      </w:r>
      <w:r w:rsidR="00196B89" w:rsidRPr="00196B89">
        <w:rPr>
          <w:rFonts w:ascii="Arial Narrow" w:eastAsia="Calibri" w:hAnsi="Arial Narrow"/>
          <w:sz w:val="22"/>
          <w:szCs w:val="22"/>
          <w:lang w:val="en-US" w:eastAsia="en-US"/>
        </w:rPr>
        <w:t xml:space="preserve">, before establishing specific provisions for the inclusion of the term “transition” or transition-related terms, it would be useful to have a legal definition </w:t>
      </w:r>
      <w:r w:rsidR="003C3B14">
        <w:rPr>
          <w:rFonts w:ascii="Arial Narrow" w:eastAsia="Calibri" w:hAnsi="Arial Narrow"/>
          <w:sz w:val="22"/>
          <w:szCs w:val="22"/>
          <w:lang w:val="en-US" w:eastAsia="en-US"/>
        </w:rPr>
        <w:t xml:space="preserve">for </w:t>
      </w:r>
      <w:r w:rsidR="00196B89" w:rsidRPr="00196B89">
        <w:rPr>
          <w:rFonts w:ascii="Arial Narrow" w:eastAsia="Calibri" w:hAnsi="Arial Narrow"/>
          <w:sz w:val="22"/>
          <w:szCs w:val="22"/>
          <w:lang w:val="en-US" w:eastAsia="en-US"/>
        </w:rPr>
        <w:t xml:space="preserve">the term </w:t>
      </w:r>
      <w:r>
        <w:rPr>
          <w:rFonts w:ascii="Arial Narrow" w:eastAsia="Calibri" w:hAnsi="Arial Narrow"/>
          <w:sz w:val="22"/>
          <w:szCs w:val="22"/>
          <w:lang w:val="en-US" w:eastAsia="en-US"/>
        </w:rPr>
        <w:t>“</w:t>
      </w:r>
      <w:r w:rsidR="00196B89" w:rsidRPr="00196B89">
        <w:rPr>
          <w:rFonts w:ascii="Arial Narrow" w:eastAsia="Calibri" w:hAnsi="Arial Narrow"/>
          <w:sz w:val="22"/>
          <w:szCs w:val="22"/>
          <w:lang w:val="en-US" w:eastAsia="en-US"/>
        </w:rPr>
        <w:t>transition</w:t>
      </w:r>
      <w:r>
        <w:rPr>
          <w:rFonts w:ascii="Arial Narrow" w:eastAsia="Calibri" w:hAnsi="Arial Narrow"/>
          <w:sz w:val="22"/>
          <w:szCs w:val="22"/>
          <w:lang w:val="en-US" w:eastAsia="en-US"/>
        </w:rPr>
        <w:t>”</w:t>
      </w:r>
      <w:r w:rsidR="00196B89" w:rsidRPr="00196B89">
        <w:rPr>
          <w:rFonts w:ascii="Arial Narrow" w:eastAsia="Calibri" w:hAnsi="Arial Narrow"/>
          <w:sz w:val="22"/>
          <w:szCs w:val="22"/>
          <w:lang w:val="en-US" w:eastAsia="en-US"/>
        </w:rPr>
        <w:t>.</w:t>
      </w:r>
    </w:p>
    <w:p w14:paraId="7DD546F9" w14:textId="5C0D2B33" w:rsidR="00196B89" w:rsidRPr="00196B89" w:rsidRDefault="00BA0CC3" w:rsidP="00196B89">
      <w:pPr>
        <w:tabs>
          <w:tab w:val="left" w:pos="-284"/>
        </w:tabs>
        <w:spacing w:after="160" w:line="259" w:lineRule="auto"/>
        <w:ind w:right="-284"/>
        <w:jc w:val="both"/>
        <w:rPr>
          <w:rFonts w:ascii="Arial Narrow" w:eastAsia="Calibri" w:hAnsi="Arial Narrow"/>
          <w:sz w:val="22"/>
          <w:szCs w:val="22"/>
          <w:lang w:val="en-US" w:eastAsia="en-US"/>
        </w:rPr>
      </w:pPr>
      <w:r>
        <w:rPr>
          <w:rFonts w:ascii="Arial Narrow" w:eastAsia="Calibri" w:hAnsi="Arial Narrow"/>
          <w:sz w:val="22"/>
          <w:szCs w:val="22"/>
          <w:lang w:val="en-US" w:eastAsia="en-US"/>
        </w:rPr>
        <w:t>S</w:t>
      </w:r>
      <w:r w:rsidR="00196B89" w:rsidRPr="00196B89">
        <w:rPr>
          <w:rFonts w:ascii="Arial Narrow" w:eastAsia="Calibri" w:hAnsi="Arial Narrow"/>
          <w:sz w:val="22"/>
          <w:szCs w:val="22"/>
          <w:lang w:val="en-US" w:eastAsia="en-US"/>
        </w:rPr>
        <w:t xml:space="preserve">ince the objective of the sustainable finance package is to redirect investments towards more sustainable technologies and companies, rules should be included that do not penalize investments focused on transition. </w:t>
      </w:r>
      <w:r>
        <w:rPr>
          <w:rFonts w:ascii="Arial Narrow" w:eastAsia="Calibri" w:hAnsi="Arial Narrow"/>
          <w:sz w:val="22"/>
          <w:szCs w:val="22"/>
          <w:lang w:val="en-US" w:eastAsia="en-US"/>
        </w:rPr>
        <w:t xml:space="preserve">Please note that </w:t>
      </w:r>
      <w:r w:rsidR="00196B89" w:rsidRPr="00196B89">
        <w:rPr>
          <w:rFonts w:ascii="Arial Narrow" w:eastAsia="Calibri" w:hAnsi="Arial Narrow"/>
          <w:sz w:val="22"/>
          <w:szCs w:val="22"/>
          <w:lang w:val="en-US" w:eastAsia="en-US"/>
        </w:rPr>
        <w:t xml:space="preserve">contributing to the financing of companies that make a real effort to be more sustainable contributes substantially to a just transition and rules on denominations that do not take this into account would go against the objective of </w:t>
      </w:r>
      <w:r>
        <w:rPr>
          <w:rFonts w:ascii="Arial Narrow" w:eastAsia="Calibri" w:hAnsi="Arial Narrow"/>
          <w:sz w:val="22"/>
          <w:szCs w:val="22"/>
          <w:lang w:val="en-US" w:eastAsia="en-US"/>
        </w:rPr>
        <w:t>the sustainable finance package</w:t>
      </w:r>
      <w:r w:rsidR="00196B89" w:rsidRPr="00196B89">
        <w:rPr>
          <w:rFonts w:ascii="Arial Narrow" w:eastAsia="Calibri" w:hAnsi="Arial Narrow"/>
          <w:sz w:val="22"/>
          <w:szCs w:val="22"/>
          <w:lang w:val="en-US" w:eastAsia="en-US"/>
        </w:rPr>
        <w:t xml:space="preserve">. </w:t>
      </w:r>
    </w:p>
    <w:p w14:paraId="7A10BDC2" w14:textId="0C198B4C" w:rsidR="00196B89" w:rsidRPr="00196B89" w:rsidRDefault="00C212C4" w:rsidP="00196B89">
      <w:pPr>
        <w:tabs>
          <w:tab w:val="left" w:pos="-284"/>
        </w:tabs>
        <w:spacing w:after="160" w:line="259" w:lineRule="auto"/>
        <w:ind w:right="-284"/>
        <w:jc w:val="both"/>
        <w:rPr>
          <w:rFonts w:ascii="Arial Narrow" w:eastAsia="Calibri" w:hAnsi="Arial Narrow"/>
          <w:sz w:val="22"/>
          <w:szCs w:val="22"/>
          <w:lang w:val="en-US" w:eastAsia="en-US"/>
        </w:rPr>
      </w:pPr>
      <w:r>
        <w:rPr>
          <w:rFonts w:ascii="Arial Narrow" w:eastAsia="Calibri" w:hAnsi="Arial Narrow"/>
          <w:sz w:val="22"/>
          <w:szCs w:val="22"/>
          <w:lang w:val="en-US" w:eastAsia="en-US"/>
        </w:rPr>
        <w:t>Additional</w:t>
      </w:r>
      <w:r w:rsidR="00196B89" w:rsidRPr="00196B89">
        <w:rPr>
          <w:rFonts w:ascii="Arial Narrow" w:eastAsia="Calibri" w:hAnsi="Arial Narrow"/>
          <w:sz w:val="22"/>
          <w:szCs w:val="22"/>
          <w:lang w:val="en-US" w:eastAsia="en-US"/>
        </w:rPr>
        <w:t xml:space="preserve"> minimum safeguards, among others, would have a very negative impact on </w:t>
      </w:r>
      <w:r w:rsidR="003211D9">
        <w:rPr>
          <w:rFonts w:ascii="Arial Narrow" w:eastAsia="Calibri" w:hAnsi="Arial Narrow"/>
          <w:sz w:val="22"/>
          <w:szCs w:val="22"/>
          <w:lang w:val="en-US" w:eastAsia="en-US"/>
        </w:rPr>
        <w:t>F</w:t>
      </w:r>
      <w:r w:rsidR="00196B89" w:rsidRPr="00196B89">
        <w:rPr>
          <w:rFonts w:ascii="Arial Narrow" w:eastAsia="Calibri" w:hAnsi="Arial Narrow"/>
          <w:sz w:val="22"/>
          <w:szCs w:val="22"/>
          <w:lang w:val="en-US" w:eastAsia="en-US"/>
        </w:rPr>
        <w:t>unds that invest in transitioning companies.</w:t>
      </w:r>
    </w:p>
    <w:p w14:paraId="61188F70" w14:textId="284A722C" w:rsidR="00B92885" w:rsidRPr="00196B89" w:rsidRDefault="00B92885" w:rsidP="00B92885">
      <w:pPr>
        <w:rPr>
          <w:lang w:val="en-US"/>
        </w:rPr>
      </w:pPr>
    </w:p>
    <w:permEnd w:id="1423966990"/>
    <w:p w14:paraId="0643B633" w14:textId="77777777" w:rsidR="00B92885" w:rsidRDefault="00B92885" w:rsidP="00B92885">
      <w:r>
        <w:t>&lt;ESMA_QUESTION_FUNA_11&gt;</w:t>
      </w:r>
    </w:p>
    <w:p w14:paraId="6EB17554" w14:textId="77777777" w:rsidR="00B92885" w:rsidRDefault="00B92885" w:rsidP="00B92885"/>
    <w:p w14:paraId="28EEF733" w14:textId="77777777" w:rsidR="00B92885" w:rsidRDefault="00B92885" w:rsidP="00057085">
      <w:pPr>
        <w:pStyle w:val="Questionstyle"/>
        <w:numPr>
          <w:ilvl w:val="0"/>
          <w:numId w:val="37"/>
        </w:numPr>
      </w:pPr>
      <w:r>
        <w:t>:</w:t>
      </w:r>
      <w:r w:rsidRPr="00EA2F1C">
        <w:t xml:space="preserve"> The proposals in this consultation paper relates to investment funds’ names in light of specific sectoral concerns. However, considering the SFDR disclosures apply also to </w:t>
      </w:r>
      <w:r w:rsidRPr="00EA2F1C">
        <w:lastRenderedPageBreak/>
        <w:t xml:space="preserve">other sectors, do you think that these proposals may have implications for other sectors and, if so, would you see merit in </w:t>
      </w:r>
      <w:r>
        <w:t>hav</w:t>
      </w:r>
      <w:r w:rsidRPr="00EA2F1C">
        <w:t>ing similar guidance for other financial products?</w:t>
      </w:r>
      <w:r>
        <w:t xml:space="preserve">   </w:t>
      </w:r>
    </w:p>
    <w:p w14:paraId="728E37B7" w14:textId="77777777" w:rsidR="00B92885" w:rsidRDefault="00B92885" w:rsidP="00B92885">
      <w:r>
        <w:t>&lt;ESMA_QUESTION_FUNA_12&gt;</w:t>
      </w:r>
    </w:p>
    <w:p w14:paraId="6D7C6A9D" w14:textId="77777777" w:rsidR="00E37100" w:rsidRDefault="00E37100" w:rsidP="00196B89">
      <w:pPr>
        <w:tabs>
          <w:tab w:val="left" w:pos="-284"/>
        </w:tabs>
        <w:spacing w:after="160" w:line="259" w:lineRule="auto"/>
        <w:ind w:right="-284"/>
        <w:jc w:val="both"/>
        <w:rPr>
          <w:rFonts w:ascii="Arial Narrow" w:eastAsia="Calibri" w:hAnsi="Arial Narrow"/>
          <w:sz w:val="22"/>
          <w:szCs w:val="22"/>
          <w:lang w:val="en-US" w:eastAsia="en-US"/>
        </w:rPr>
      </w:pPr>
      <w:permStart w:id="1434478937" w:edGrp="everyone"/>
    </w:p>
    <w:p w14:paraId="2C23FA71" w14:textId="22C0D2CF" w:rsidR="00196B89" w:rsidRPr="00196B89" w:rsidRDefault="00196B89" w:rsidP="00196B89">
      <w:pPr>
        <w:tabs>
          <w:tab w:val="left" w:pos="-284"/>
        </w:tabs>
        <w:spacing w:after="160" w:line="259" w:lineRule="auto"/>
        <w:ind w:right="-284"/>
        <w:jc w:val="both"/>
        <w:rPr>
          <w:rFonts w:ascii="Arial Narrow" w:eastAsia="Calibri" w:hAnsi="Arial Narrow"/>
          <w:sz w:val="22"/>
          <w:szCs w:val="22"/>
          <w:lang w:val="en-US" w:eastAsia="en-US"/>
        </w:rPr>
      </w:pPr>
      <w:r w:rsidRPr="00196B89">
        <w:rPr>
          <w:rFonts w:ascii="Arial Narrow" w:eastAsia="Calibri" w:hAnsi="Arial Narrow"/>
          <w:sz w:val="22"/>
          <w:szCs w:val="22"/>
          <w:lang w:val="en-US" w:eastAsia="en-US"/>
        </w:rPr>
        <w:t xml:space="preserve">INVERCO considers that the naming of products according to their ESG bias would merit a calm discussion at ESAs level for the latter to make a proposal to the </w:t>
      </w:r>
      <w:r w:rsidR="00BA0CC3">
        <w:rPr>
          <w:rFonts w:ascii="Arial Narrow" w:eastAsia="Calibri" w:hAnsi="Arial Narrow"/>
          <w:sz w:val="22"/>
          <w:szCs w:val="22"/>
          <w:lang w:val="en-US" w:eastAsia="en-US"/>
        </w:rPr>
        <w:t xml:space="preserve">EU </w:t>
      </w:r>
      <w:r w:rsidRPr="00196B89">
        <w:rPr>
          <w:rFonts w:ascii="Arial Narrow" w:eastAsia="Calibri" w:hAnsi="Arial Narrow"/>
          <w:sz w:val="22"/>
          <w:szCs w:val="22"/>
          <w:lang w:val="en-US" w:eastAsia="en-US"/>
        </w:rPr>
        <w:t>legislator.</w:t>
      </w:r>
    </w:p>
    <w:p w14:paraId="7B4B9C9C" w14:textId="34373F62" w:rsidR="00196B89" w:rsidRPr="00196B89" w:rsidRDefault="00BA0CC3" w:rsidP="00196B89">
      <w:pPr>
        <w:tabs>
          <w:tab w:val="left" w:pos="-284"/>
        </w:tabs>
        <w:spacing w:after="160" w:line="259" w:lineRule="auto"/>
        <w:ind w:right="-284"/>
        <w:jc w:val="both"/>
        <w:rPr>
          <w:rFonts w:ascii="Arial Narrow" w:eastAsia="Calibri" w:hAnsi="Arial Narrow"/>
          <w:sz w:val="22"/>
          <w:szCs w:val="22"/>
          <w:lang w:val="en-US" w:eastAsia="en-US"/>
        </w:rPr>
      </w:pPr>
      <w:r>
        <w:rPr>
          <w:rFonts w:ascii="Arial Narrow" w:eastAsia="Calibri" w:hAnsi="Arial Narrow"/>
          <w:sz w:val="22"/>
          <w:szCs w:val="22"/>
          <w:lang w:val="en-US" w:eastAsia="en-US"/>
        </w:rPr>
        <w:t>T</w:t>
      </w:r>
      <w:r w:rsidR="00196B89" w:rsidRPr="00196B89">
        <w:rPr>
          <w:rFonts w:ascii="Arial Narrow" w:eastAsia="Calibri" w:hAnsi="Arial Narrow"/>
          <w:sz w:val="22"/>
          <w:szCs w:val="22"/>
          <w:lang w:val="en-US" w:eastAsia="en-US"/>
        </w:rPr>
        <w:t xml:space="preserve">o preserve a level playing field and avoid different levels of investor protection, it seems reasonable to adopt </w:t>
      </w:r>
      <w:r>
        <w:rPr>
          <w:rFonts w:ascii="Arial Narrow" w:eastAsia="Calibri" w:hAnsi="Arial Narrow"/>
          <w:sz w:val="22"/>
          <w:szCs w:val="22"/>
          <w:lang w:val="en-US" w:eastAsia="en-US"/>
        </w:rPr>
        <w:t xml:space="preserve">equivalent measures </w:t>
      </w:r>
      <w:r w:rsidR="00196B89" w:rsidRPr="00196B89">
        <w:rPr>
          <w:rFonts w:ascii="Arial Narrow" w:eastAsia="Calibri" w:hAnsi="Arial Narrow"/>
          <w:sz w:val="22"/>
          <w:szCs w:val="22"/>
          <w:lang w:val="en-US" w:eastAsia="en-US"/>
        </w:rPr>
        <w:t>applicable to the rest of the products marketed to retailers.</w:t>
      </w:r>
    </w:p>
    <w:p w14:paraId="54FC5FAA" w14:textId="150D61BA" w:rsidR="00B92885" w:rsidRPr="004045B8" w:rsidRDefault="00B92885" w:rsidP="00B92885">
      <w:pPr>
        <w:rPr>
          <w:lang w:val="en-US"/>
        </w:rPr>
      </w:pPr>
    </w:p>
    <w:permEnd w:id="1434478937"/>
    <w:p w14:paraId="70EEE415" w14:textId="77777777" w:rsidR="00B92885" w:rsidRDefault="00B92885" w:rsidP="00B92885">
      <w:r>
        <w:t>&lt;ESMA_QUESTION_FUNA_12&gt;</w:t>
      </w:r>
    </w:p>
    <w:p w14:paraId="17B0E5FA" w14:textId="77777777" w:rsidR="00B92885" w:rsidRDefault="00B92885" w:rsidP="00B92885"/>
    <w:p w14:paraId="78737478" w14:textId="77777777" w:rsidR="00B92885" w:rsidRDefault="00B92885" w:rsidP="00057085">
      <w:pPr>
        <w:pStyle w:val="Questionstyle"/>
        <w:numPr>
          <w:ilvl w:val="0"/>
          <w:numId w:val="37"/>
        </w:numPr>
      </w:pPr>
      <w:r>
        <w:t xml:space="preserve">: </w:t>
      </w:r>
      <w:r w:rsidRPr="00EA2F1C">
        <w:t>Do you agree with having a transitional period of 6 months from the date of the application of the Guidelines for existing funds? If not, please explain why and provide an alternative proposal.</w:t>
      </w:r>
    </w:p>
    <w:p w14:paraId="004818D5" w14:textId="77777777" w:rsidR="00B92885" w:rsidRDefault="00B92885" w:rsidP="00B92885">
      <w:r>
        <w:t>&lt;ESMA_QUESTION_FUNA_13&gt;</w:t>
      </w:r>
    </w:p>
    <w:p w14:paraId="400551BE" w14:textId="77777777" w:rsidR="00196B89" w:rsidRDefault="00196B89" w:rsidP="00196B89">
      <w:pPr>
        <w:rPr>
          <w:lang w:val="en-US"/>
        </w:rPr>
      </w:pPr>
      <w:permStart w:id="489244833" w:edGrp="everyone"/>
    </w:p>
    <w:p w14:paraId="07B374C1" w14:textId="37270DFC" w:rsidR="00196B89" w:rsidRPr="00196B89" w:rsidRDefault="00BA0CC3" w:rsidP="00196B89">
      <w:pPr>
        <w:tabs>
          <w:tab w:val="left" w:pos="-284"/>
        </w:tabs>
        <w:spacing w:after="160" w:line="259" w:lineRule="auto"/>
        <w:ind w:right="-284"/>
        <w:jc w:val="both"/>
        <w:rPr>
          <w:rFonts w:ascii="Arial Narrow" w:eastAsia="Calibri" w:hAnsi="Arial Narrow"/>
          <w:sz w:val="22"/>
          <w:szCs w:val="22"/>
          <w:lang w:val="en-US" w:eastAsia="en-US"/>
        </w:rPr>
      </w:pPr>
      <w:r>
        <w:rPr>
          <w:rFonts w:ascii="Arial Narrow" w:eastAsia="Calibri" w:hAnsi="Arial Narrow"/>
          <w:sz w:val="22"/>
          <w:szCs w:val="22"/>
          <w:lang w:val="en-US" w:eastAsia="en-US"/>
        </w:rPr>
        <w:t xml:space="preserve">On the one hand, </w:t>
      </w:r>
      <w:r w:rsidR="00196B89" w:rsidRPr="00196B89">
        <w:rPr>
          <w:rFonts w:ascii="Arial Narrow" w:eastAsia="Calibri" w:hAnsi="Arial Narrow"/>
          <w:sz w:val="22"/>
          <w:szCs w:val="22"/>
          <w:lang w:val="en-US" w:eastAsia="en-US"/>
        </w:rPr>
        <w:t>it would be useful to clarify whether the 6 months foreseen in the Guidelines for the transitional period are additional to the 3 months established for the effective application of the new requirements.</w:t>
      </w:r>
    </w:p>
    <w:p w14:paraId="0A92BC53" w14:textId="3DCD5D01" w:rsidR="00196B89" w:rsidRPr="00196B89" w:rsidRDefault="00BA0CC3" w:rsidP="00196B89">
      <w:pPr>
        <w:tabs>
          <w:tab w:val="left" w:pos="-284"/>
        </w:tabs>
        <w:spacing w:after="160" w:line="259" w:lineRule="auto"/>
        <w:ind w:right="-284"/>
        <w:jc w:val="both"/>
        <w:rPr>
          <w:rFonts w:ascii="Arial Narrow" w:eastAsia="Calibri" w:hAnsi="Arial Narrow"/>
          <w:sz w:val="22"/>
          <w:szCs w:val="22"/>
          <w:lang w:val="en-US" w:eastAsia="en-US"/>
        </w:rPr>
      </w:pPr>
      <w:r>
        <w:rPr>
          <w:rFonts w:ascii="Arial Narrow" w:eastAsia="Calibri" w:hAnsi="Arial Narrow"/>
          <w:sz w:val="22"/>
          <w:szCs w:val="22"/>
          <w:lang w:val="en-US" w:eastAsia="en-US"/>
        </w:rPr>
        <w:t xml:space="preserve">On the other hand, </w:t>
      </w:r>
      <w:r w:rsidR="00196B89" w:rsidRPr="00196B89">
        <w:rPr>
          <w:rFonts w:ascii="Arial Narrow" w:eastAsia="Calibri" w:hAnsi="Arial Narrow"/>
          <w:sz w:val="22"/>
          <w:szCs w:val="22"/>
          <w:lang w:val="en-US" w:eastAsia="en-US"/>
        </w:rPr>
        <w:t>a period of 6 months would be insufficient</w:t>
      </w:r>
      <w:r w:rsidR="00057085">
        <w:rPr>
          <w:rFonts w:ascii="Arial Narrow" w:eastAsia="Calibri" w:hAnsi="Arial Narrow"/>
          <w:sz w:val="22"/>
          <w:szCs w:val="22"/>
          <w:lang w:val="en-US" w:eastAsia="en-US"/>
        </w:rPr>
        <w:t>,</w:t>
      </w:r>
      <w:r w:rsidR="00196B89" w:rsidRPr="00196B89">
        <w:rPr>
          <w:rFonts w:ascii="Arial Narrow" w:eastAsia="Calibri" w:hAnsi="Arial Narrow"/>
          <w:sz w:val="22"/>
          <w:szCs w:val="22"/>
          <w:lang w:val="en-US" w:eastAsia="en-US"/>
        </w:rPr>
        <w:t xml:space="preserve"> not only because of the </w:t>
      </w:r>
      <w:r w:rsidR="00057085">
        <w:rPr>
          <w:rFonts w:ascii="Arial Narrow" w:eastAsia="Calibri" w:hAnsi="Arial Narrow"/>
          <w:sz w:val="22"/>
          <w:szCs w:val="22"/>
          <w:lang w:val="en-US" w:eastAsia="en-US"/>
        </w:rPr>
        <w:t xml:space="preserve">need to carry out a new </w:t>
      </w:r>
      <w:r w:rsidR="00196B89" w:rsidRPr="00196B89">
        <w:rPr>
          <w:rFonts w:ascii="Arial Narrow" w:eastAsia="Calibri" w:hAnsi="Arial Narrow"/>
          <w:sz w:val="22"/>
          <w:szCs w:val="22"/>
          <w:lang w:val="en-US" w:eastAsia="en-US"/>
        </w:rPr>
        <w:t xml:space="preserve">modification of </w:t>
      </w:r>
      <w:r w:rsidR="00057085">
        <w:rPr>
          <w:rFonts w:ascii="Arial Narrow" w:eastAsia="Calibri" w:hAnsi="Arial Narrow"/>
          <w:sz w:val="22"/>
          <w:szCs w:val="22"/>
          <w:lang w:val="en-US" w:eastAsia="en-US"/>
        </w:rPr>
        <w:t xml:space="preserve">Funds </w:t>
      </w:r>
      <w:r w:rsidR="00196B89" w:rsidRPr="00196B89">
        <w:rPr>
          <w:rFonts w:ascii="Arial Narrow" w:eastAsia="Calibri" w:hAnsi="Arial Narrow"/>
          <w:sz w:val="22"/>
          <w:szCs w:val="22"/>
          <w:lang w:val="en-US" w:eastAsia="en-US"/>
        </w:rPr>
        <w:t xml:space="preserve">documentation, but also because of the difficulties arising from the product definition process itself: Analysis and design, internal approval processes, information to </w:t>
      </w:r>
      <w:r w:rsidR="00C212C4" w:rsidRPr="00196B89">
        <w:rPr>
          <w:rFonts w:ascii="Arial Narrow" w:eastAsia="Calibri" w:hAnsi="Arial Narrow"/>
          <w:sz w:val="22"/>
          <w:szCs w:val="22"/>
          <w:lang w:val="en-US" w:eastAsia="en-US"/>
        </w:rPr>
        <w:t>unitholders</w:t>
      </w:r>
      <w:r w:rsidR="00196B89" w:rsidRPr="00196B89">
        <w:rPr>
          <w:rFonts w:ascii="Arial Narrow" w:eastAsia="Calibri" w:hAnsi="Arial Narrow"/>
          <w:sz w:val="22"/>
          <w:szCs w:val="22"/>
          <w:lang w:val="en-US" w:eastAsia="en-US"/>
        </w:rPr>
        <w:t>, liaison with NCAs, handling reputational risks and avoidance of claims and redemptions.</w:t>
      </w:r>
    </w:p>
    <w:p w14:paraId="3A4F7613" w14:textId="42B6BAB3" w:rsidR="00196B89" w:rsidRPr="00196B89" w:rsidRDefault="00196B89" w:rsidP="00196B89">
      <w:pPr>
        <w:tabs>
          <w:tab w:val="left" w:pos="-284"/>
        </w:tabs>
        <w:spacing w:after="160" w:line="259" w:lineRule="auto"/>
        <w:ind w:right="-284"/>
        <w:jc w:val="both"/>
        <w:rPr>
          <w:rFonts w:ascii="Arial Narrow" w:eastAsia="Calibri" w:hAnsi="Arial Narrow"/>
          <w:sz w:val="22"/>
          <w:szCs w:val="22"/>
          <w:lang w:val="en-US" w:eastAsia="en-US"/>
        </w:rPr>
      </w:pPr>
      <w:r w:rsidRPr="00196B89">
        <w:rPr>
          <w:rFonts w:ascii="Arial Narrow" w:eastAsia="Calibri" w:hAnsi="Arial Narrow"/>
          <w:sz w:val="22"/>
          <w:szCs w:val="22"/>
          <w:lang w:val="en-US" w:eastAsia="en-US"/>
        </w:rPr>
        <w:t xml:space="preserve">In view of the above, it is considered more convenient </w:t>
      </w:r>
      <w:r w:rsidR="00057085">
        <w:rPr>
          <w:rFonts w:ascii="Arial Narrow" w:eastAsia="Calibri" w:hAnsi="Arial Narrow"/>
          <w:sz w:val="22"/>
          <w:szCs w:val="22"/>
          <w:lang w:val="en-US" w:eastAsia="en-US"/>
        </w:rPr>
        <w:t xml:space="preserve">to have a transitional period </w:t>
      </w:r>
      <w:r w:rsidRPr="00196B89">
        <w:rPr>
          <w:rFonts w:ascii="Arial Narrow" w:eastAsia="Calibri" w:hAnsi="Arial Narrow"/>
          <w:sz w:val="22"/>
          <w:szCs w:val="22"/>
          <w:lang w:val="en-US" w:eastAsia="en-US"/>
        </w:rPr>
        <w:t>of at least 12 months.</w:t>
      </w:r>
    </w:p>
    <w:p w14:paraId="68ED52F5" w14:textId="4FA3DD17" w:rsidR="00B92885" w:rsidRPr="00196B89" w:rsidRDefault="00B92885" w:rsidP="00196B89">
      <w:pPr>
        <w:tabs>
          <w:tab w:val="left" w:pos="-284"/>
        </w:tabs>
        <w:spacing w:after="160" w:line="259" w:lineRule="auto"/>
        <w:ind w:right="-284"/>
        <w:jc w:val="both"/>
        <w:rPr>
          <w:rFonts w:ascii="Arial Narrow" w:eastAsia="Calibri" w:hAnsi="Arial Narrow"/>
          <w:sz w:val="22"/>
          <w:szCs w:val="22"/>
          <w:u w:val="single"/>
          <w:lang w:val="en-US" w:eastAsia="en-US"/>
        </w:rPr>
      </w:pPr>
    </w:p>
    <w:permEnd w:id="489244833"/>
    <w:p w14:paraId="739467F4" w14:textId="77777777" w:rsidR="00B92885" w:rsidRDefault="00B92885" w:rsidP="00B92885">
      <w:r>
        <w:t>&lt;ESMA_QUESTION_FUNA_13&gt;</w:t>
      </w:r>
    </w:p>
    <w:p w14:paraId="1F64F9E6" w14:textId="77777777" w:rsidR="00B92885" w:rsidRDefault="00B92885" w:rsidP="00B92885"/>
    <w:p w14:paraId="7FD3A293" w14:textId="77777777" w:rsidR="00B92885" w:rsidRDefault="00B92885" w:rsidP="00057085">
      <w:pPr>
        <w:pStyle w:val="Questionstyle"/>
        <w:numPr>
          <w:ilvl w:val="0"/>
          <w:numId w:val="37"/>
        </w:numPr>
      </w:pPr>
      <w:r>
        <w:t xml:space="preserve">: </w:t>
      </w:r>
      <w:r w:rsidRPr="00EA2F1C">
        <w:t>Should the naming-related provisions be extended to closed-ended funds which have terminated their subscription period before the application date of the Guidelines? If not, please explain your answer.</w:t>
      </w:r>
    </w:p>
    <w:p w14:paraId="7510E02E" w14:textId="77777777" w:rsidR="00B92885" w:rsidRDefault="00B92885" w:rsidP="00B92885">
      <w:r>
        <w:t>&lt;ESMA_QUESTION_FUNA_14&gt;</w:t>
      </w:r>
    </w:p>
    <w:p w14:paraId="1FD3E8F5" w14:textId="77777777" w:rsidR="00057085" w:rsidRDefault="00057085" w:rsidP="00196B89">
      <w:pPr>
        <w:tabs>
          <w:tab w:val="left" w:pos="-284"/>
        </w:tabs>
        <w:spacing w:after="160" w:line="259" w:lineRule="auto"/>
        <w:ind w:right="-284"/>
        <w:jc w:val="both"/>
        <w:rPr>
          <w:rFonts w:ascii="Arial Narrow" w:eastAsia="Calibri" w:hAnsi="Arial Narrow"/>
          <w:sz w:val="22"/>
          <w:szCs w:val="22"/>
          <w:lang w:val="en-US" w:eastAsia="en-US"/>
        </w:rPr>
      </w:pPr>
      <w:permStart w:id="1766353355" w:edGrp="everyone"/>
    </w:p>
    <w:p w14:paraId="42C17550" w14:textId="68690439" w:rsidR="00196B89" w:rsidRPr="00196B89" w:rsidRDefault="00196B89" w:rsidP="00196B89">
      <w:pPr>
        <w:tabs>
          <w:tab w:val="left" w:pos="-284"/>
        </w:tabs>
        <w:spacing w:after="160" w:line="259" w:lineRule="auto"/>
        <w:ind w:right="-284"/>
        <w:jc w:val="both"/>
        <w:rPr>
          <w:rFonts w:ascii="Arial Narrow" w:eastAsia="Calibri" w:hAnsi="Arial Narrow"/>
          <w:sz w:val="22"/>
          <w:szCs w:val="22"/>
          <w:lang w:val="en-US" w:eastAsia="en-US"/>
        </w:rPr>
      </w:pPr>
      <w:r w:rsidRPr="00196B89">
        <w:rPr>
          <w:rFonts w:ascii="Arial Narrow" w:eastAsia="Calibri" w:hAnsi="Arial Narrow"/>
          <w:sz w:val="22"/>
          <w:szCs w:val="22"/>
          <w:lang w:val="en-US" w:eastAsia="en-US"/>
        </w:rPr>
        <w:t>The retroactivity of the Guidelines is totally inappropriate. Under no circumstances should they be applied to Funds in which no new subscriptions can be made or Funds that are not actively marketed.</w:t>
      </w:r>
    </w:p>
    <w:p w14:paraId="12BE5CDA" w14:textId="7B308890" w:rsidR="00196B89" w:rsidRPr="00196B89" w:rsidRDefault="00057085" w:rsidP="00196B89">
      <w:pPr>
        <w:tabs>
          <w:tab w:val="left" w:pos="-284"/>
        </w:tabs>
        <w:spacing w:after="160" w:line="259" w:lineRule="auto"/>
        <w:ind w:right="-284"/>
        <w:jc w:val="both"/>
        <w:rPr>
          <w:rFonts w:ascii="Arial Narrow" w:eastAsia="Calibri" w:hAnsi="Arial Narrow"/>
          <w:sz w:val="22"/>
          <w:szCs w:val="22"/>
          <w:lang w:val="en-US" w:eastAsia="en-US"/>
        </w:rPr>
      </w:pPr>
      <w:r>
        <w:rPr>
          <w:rFonts w:ascii="Arial Narrow" w:eastAsia="Calibri" w:hAnsi="Arial Narrow"/>
          <w:sz w:val="22"/>
          <w:szCs w:val="22"/>
          <w:lang w:val="en-US" w:eastAsia="en-US"/>
        </w:rPr>
        <w:t xml:space="preserve">Note that </w:t>
      </w:r>
      <w:r w:rsidR="00196B89" w:rsidRPr="00196B89">
        <w:rPr>
          <w:rFonts w:ascii="Arial Narrow" w:eastAsia="Calibri" w:hAnsi="Arial Narrow"/>
          <w:sz w:val="22"/>
          <w:szCs w:val="22"/>
          <w:lang w:val="en-US" w:eastAsia="en-US"/>
        </w:rPr>
        <w:t>the</w:t>
      </w:r>
      <w:r>
        <w:rPr>
          <w:rFonts w:ascii="Arial Narrow" w:eastAsia="Calibri" w:hAnsi="Arial Narrow"/>
          <w:sz w:val="22"/>
          <w:szCs w:val="22"/>
          <w:lang w:val="en-US" w:eastAsia="en-US"/>
        </w:rPr>
        <w:t>se</w:t>
      </w:r>
      <w:r w:rsidR="00196B89" w:rsidRPr="00196B89">
        <w:rPr>
          <w:rFonts w:ascii="Arial Narrow" w:eastAsia="Calibri" w:hAnsi="Arial Narrow"/>
          <w:sz w:val="22"/>
          <w:szCs w:val="22"/>
          <w:lang w:val="en-US" w:eastAsia="en-US"/>
        </w:rPr>
        <w:t xml:space="preserve"> Guidelines work against legal certainty</w:t>
      </w:r>
      <w:r>
        <w:rPr>
          <w:rFonts w:ascii="Arial Narrow" w:eastAsia="Calibri" w:hAnsi="Arial Narrow"/>
          <w:sz w:val="22"/>
          <w:szCs w:val="22"/>
          <w:lang w:val="en-US" w:eastAsia="en-US"/>
        </w:rPr>
        <w:t xml:space="preserve"> because they i</w:t>
      </w:r>
      <w:r w:rsidR="00196B89" w:rsidRPr="00196B89">
        <w:rPr>
          <w:rFonts w:ascii="Arial Narrow" w:eastAsia="Calibri" w:hAnsi="Arial Narrow"/>
          <w:sz w:val="22"/>
          <w:szCs w:val="22"/>
          <w:lang w:val="en-US" w:eastAsia="en-US"/>
        </w:rPr>
        <w:t xml:space="preserve">mpose new rules on Funds that were launched and marketed, in many cases, in compliance with SFDR but that </w:t>
      </w:r>
      <w:r w:rsidR="00925149" w:rsidRPr="00196B89">
        <w:rPr>
          <w:rFonts w:ascii="Arial Narrow" w:eastAsia="Calibri" w:hAnsi="Arial Narrow"/>
          <w:sz w:val="22"/>
          <w:szCs w:val="22"/>
          <w:lang w:val="en-US" w:eastAsia="en-US"/>
        </w:rPr>
        <w:t>must</w:t>
      </w:r>
      <w:r w:rsidR="00196B89" w:rsidRPr="00196B89">
        <w:rPr>
          <w:rFonts w:ascii="Arial Narrow" w:eastAsia="Calibri" w:hAnsi="Arial Narrow"/>
          <w:sz w:val="22"/>
          <w:szCs w:val="22"/>
          <w:lang w:val="en-US" w:eastAsia="en-US"/>
        </w:rPr>
        <w:t xml:space="preserve"> bear the operational and reputational costs arising from new naming rules.</w:t>
      </w:r>
    </w:p>
    <w:p w14:paraId="2BFCC20E" w14:textId="23B87A9F" w:rsidR="00196B89" w:rsidRPr="00196B89" w:rsidRDefault="00196B89" w:rsidP="00196B89">
      <w:pPr>
        <w:tabs>
          <w:tab w:val="left" w:pos="-284"/>
        </w:tabs>
        <w:spacing w:after="160" w:line="259" w:lineRule="auto"/>
        <w:ind w:right="-284"/>
        <w:jc w:val="both"/>
        <w:rPr>
          <w:rFonts w:ascii="Arial Narrow" w:eastAsia="Calibri" w:hAnsi="Arial Narrow"/>
          <w:sz w:val="22"/>
          <w:szCs w:val="22"/>
          <w:lang w:val="en-US" w:eastAsia="en-US"/>
        </w:rPr>
      </w:pPr>
      <w:r w:rsidRPr="00196B89">
        <w:rPr>
          <w:rFonts w:ascii="Arial Narrow" w:eastAsia="Calibri" w:hAnsi="Arial Narrow"/>
          <w:sz w:val="22"/>
          <w:szCs w:val="22"/>
          <w:lang w:val="en-US" w:eastAsia="en-US"/>
        </w:rPr>
        <w:t xml:space="preserve">In the Spanish market, the above may also be the case of funds such as guaranteed funds or funds with an objective return, which have closed structures whose name at the time of their launch complied with the current regulations and were marketed as such to </w:t>
      </w:r>
      <w:r w:rsidR="00C212C4" w:rsidRPr="00196B89">
        <w:rPr>
          <w:rFonts w:ascii="Arial Narrow" w:eastAsia="Calibri" w:hAnsi="Arial Narrow"/>
          <w:sz w:val="22"/>
          <w:szCs w:val="22"/>
          <w:lang w:val="en-US" w:eastAsia="en-US"/>
        </w:rPr>
        <w:t>unitholders</w:t>
      </w:r>
      <w:r w:rsidRPr="00196B89">
        <w:rPr>
          <w:rFonts w:ascii="Arial Narrow" w:eastAsia="Calibri" w:hAnsi="Arial Narrow"/>
          <w:sz w:val="22"/>
          <w:szCs w:val="22"/>
          <w:lang w:val="en-US" w:eastAsia="en-US"/>
        </w:rPr>
        <w:t xml:space="preserve">. Adapting these structures to the proposed requirements would entail very high costs that would not result in greater protection for the </w:t>
      </w:r>
      <w:r w:rsidR="00C212C4" w:rsidRPr="00196B89">
        <w:rPr>
          <w:rFonts w:ascii="Arial Narrow" w:eastAsia="Calibri" w:hAnsi="Arial Narrow"/>
          <w:sz w:val="22"/>
          <w:szCs w:val="22"/>
          <w:lang w:val="en-US" w:eastAsia="en-US"/>
        </w:rPr>
        <w:t>unitholders</w:t>
      </w:r>
      <w:r w:rsidRPr="00196B89">
        <w:rPr>
          <w:rFonts w:ascii="Arial Narrow" w:eastAsia="Calibri" w:hAnsi="Arial Narrow"/>
          <w:sz w:val="22"/>
          <w:szCs w:val="22"/>
          <w:lang w:val="en-US" w:eastAsia="en-US"/>
        </w:rPr>
        <w:t>, nor for potential new investors, since they work as closed-end</w:t>
      </w:r>
      <w:r w:rsidR="00057085">
        <w:rPr>
          <w:rFonts w:ascii="Arial Narrow" w:eastAsia="Calibri" w:hAnsi="Arial Narrow"/>
          <w:sz w:val="22"/>
          <w:szCs w:val="22"/>
          <w:lang w:val="en-US" w:eastAsia="en-US"/>
        </w:rPr>
        <w:t>ed</w:t>
      </w:r>
      <w:r w:rsidRPr="00196B89">
        <w:rPr>
          <w:rFonts w:ascii="Arial Narrow" w:eastAsia="Calibri" w:hAnsi="Arial Narrow"/>
          <w:sz w:val="22"/>
          <w:szCs w:val="22"/>
          <w:lang w:val="en-US" w:eastAsia="en-US"/>
        </w:rPr>
        <w:t xml:space="preserve"> Funds for new subscriptions purposes.</w:t>
      </w:r>
    </w:p>
    <w:p w14:paraId="1AAD6908" w14:textId="77777777" w:rsidR="00196B89" w:rsidRPr="00196B89" w:rsidRDefault="00196B89" w:rsidP="00196B89">
      <w:pPr>
        <w:tabs>
          <w:tab w:val="left" w:pos="-284"/>
        </w:tabs>
        <w:spacing w:after="160" w:line="259" w:lineRule="auto"/>
        <w:ind w:right="-284"/>
        <w:jc w:val="both"/>
        <w:rPr>
          <w:rFonts w:ascii="Arial Narrow" w:eastAsia="Calibri" w:hAnsi="Arial Narrow"/>
          <w:sz w:val="22"/>
          <w:szCs w:val="22"/>
          <w:lang w:val="en-US" w:eastAsia="en-US"/>
        </w:rPr>
      </w:pPr>
      <w:r w:rsidRPr="00196B89">
        <w:rPr>
          <w:rFonts w:ascii="Arial Narrow" w:eastAsia="Calibri" w:hAnsi="Arial Narrow"/>
          <w:sz w:val="22"/>
          <w:szCs w:val="22"/>
          <w:lang w:val="en-US" w:eastAsia="en-US"/>
        </w:rPr>
        <w:lastRenderedPageBreak/>
        <w:t>Again, this type of measures would not serve to support the transition.</w:t>
      </w:r>
    </w:p>
    <w:p w14:paraId="23752B71" w14:textId="529DFC72" w:rsidR="00B92885" w:rsidRPr="00196B89" w:rsidRDefault="00B92885" w:rsidP="00B92885">
      <w:pPr>
        <w:rPr>
          <w:lang w:val="en-US"/>
        </w:rPr>
      </w:pPr>
    </w:p>
    <w:permEnd w:id="1766353355"/>
    <w:p w14:paraId="611042B9" w14:textId="77777777" w:rsidR="00B92885" w:rsidRDefault="00B92885" w:rsidP="00B92885">
      <w:r>
        <w:t>&lt;ESMA_QUESTION_FUNA_14&gt;</w:t>
      </w:r>
    </w:p>
    <w:p w14:paraId="47DCA7A5" w14:textId="77777777" w:rsidR="00B92885" w:rsidRDefault="00B92885" w:rsidP="00B92885"/>
    <w:p w14:paraId="7718491E" w14:textId="77777777" w:rsidR="00B92885" w:rsidRDefault="00B92885" w:rsidP="00057085">
      <w:pPr>
        <w:pStyle w:val="Questionstyle"/>
        <w:numPr>
          <w:ilvl w:val="0"/>
          <w:numId w:val="37"/>
        </w:numPr>
      </w:pPr>
      <w:r>
        <w:t xml:space="preserve">: </w:t>
      </w:r>
      <w:r w:rsidRPr="00D5777E">
        <w:t>What is the anticipated impact from the introduction of the proposed Guidelines?</w:t>
      </w:r>
    </w:p>
    <w:p w14:paraId="79B9FE7A" w14:textId="77777777" w:rsidR="00B92885" w:rsidRDefault="00B92885" w:rsidP="00B92885">
      <w:r>
        <w:t>&lt;ESMA_QUESTION_FUNA_15&gt;</w:t>
      </w:r>
    </w:p>
    <w:p w14:paraId="5193BAC0" w14:textId="77777777" w:rsidR="00057085" w:rsidRDefault="00057085" w:rsidP="00196B89">
      <w:pPr>
        <w:tabs>
          <w:tab w:val="left" w:pos="-284"/>
        </w:tabs>
        <w:spacing w:after="160" w:line="259" w:lineRule="auto"/>
        <w:ind w:right="-284"/>
        <w:jc w:val="both"/>
        <w:rPr>
          <w:rFonts w:ascii="Arial Narrow" w:eastAsia="Calibri" w:hAnsi="Arial Narrow"/>
          <w:sz w:val="22"/>
          <w:szCs w:val="22"/>
          <w:lang w:val="en-US" w:eastAsia="en-US"/>
        </w:rPr>
      </w:pPr>
      <w:permStart w:id="929254269" w:edGrp="everyone"/>
    </w:p>
    <w:p w14:paraId="60F7A0F7" w14:textId="0296DB06" w:rsidR="00196B89" w:rsidRPr="00196B89" w:rsidRDefault="00057085" w:rsidP="00196B89">
      <w:pPr>
        <w:tabs>
          <w:tab w:val="left" w:pos="-284"/>
        </w:tabs>
        <w:spacing w:after="160" w:line="259" w:lineRule="auto"/>
        <w:ind w:right="-284"/>
        <w:jc w:val="both"/>
        <w:rPr>
          <w:rFonts w:ascii="Arial Narrow" w:eastAsia="Calibri" w:hAnsi="Arial Narrow"/>
          <w:sz w:val="22"/>
          <w:szCs w:val="22"/>
          <w:lang w:val="en-US" w:eastAsia="en-US"/>
        </w:rPr>
      </w:pPr>
      <w:r>
        <w:rPr>
          <w:rFonts w:ascii="Arial Narrow" w:eastAsia="Calibri" w:hAnsi="Arial Narrow"/>
          <w:sz w:val="22"/>
          <w:szCs w:val="22"/>
          <w:lang w:val="en-US" w:eastAsia="en-US"/>
        </w:rPr>
        <w:t>T</w:t>
      </w:r>
      <w:r w:rsidR="00196B89" w:rsidRPr="00196B89">
        <w:rPr>
          <w:rFonts w:ascii="Arial Narrow" w:eastAsia="Calibri" w:hAnsi="Arial Narrow"/>
          <w:sz w:val="22"/>
          <w:szCs w:val="22"/>
          <w:lang w:val="en-US" w:eastAsia="en-US"/>
        </w:rPr>
        <w:t xml:space="preserve">he success of the Guidelines </w:t>
      </w:r>
      <w:r>
        <w:rPr>
          <w:rFonts w:ascii="Arial Narrow" w:eastAsia="Calibri" w:hAnsi="Arial Narrow"/>
          <w:sz w:val="22"/>
          <w:szCs w:val="22"/>
          <w:lang w:val="en-US" w:eastAsia="en-US"/>
        </w:rPr>
        <w:t xml:space="preserve">would very much </w:t>
      </w:r>
      <w:r w:rsidR="00196B89" w:rsidRPr="00196B89">
        <w:rPr>
          <w:rFonts w:ascii="Arial Narrow" w:eastAsia="Calibri" w:hAnsi="Arial Narrow"/>
          <w:sz w:val="22"/>
          <w:szCs w:val="22"/>
          <w:lang w:val="en-US" w:eastAsia="en-US"/>
        </w:rPr>
        <w:t>depend on their adoption by all NCAs, which is highly unlikely.</w:t>
      </w:r>
      <w:r>
        <w:rPr>
          <w:rFonts w:ascii="Arial Narrow" w:eastAsia="Calibri" w:hAnsi="Arial Narrow"/>
          <w:sz w:val="22"/>
          <w:szCs w:val="22"/>
          <w:lang w:val="en-US" w:eastAsia="en-US"/>
        </w:rPr>
        <w:t xml:space="preserve"> I</w:t>
      </w:r>
      <w:r w:rsidR="00196B89" w:rsidRPr="00196B89">
        <w:rPr>
          <w:rFonts w:ascii="Arial Narrow" w:eastAsia="Calibri" w:hAnsi="Arial Narrow"/>
          <w:sz w:val="22"/>
          <w:szCs w:val="22"/>
          <w:lang w:val="en-US" w:eastAsia="en-US"/>
        </w:rPr>
        <w:t>t is</w:t>
      </w:r>
      <w:r>
        <w:rPr>
          <w:rFonts w:ascii="Arial Narrow" w:eastAsia="Calibri" w:hAnsi="Arial Narrow"/>
          <w:sz w:val="22"/>
          <w:szCs w:val="22"/>
          <w:lang w:val="en-US" w:eastAsia="en-US"/>
        </w:rPr>
        <w:t xml:space="preserve"> therefore</w:t>
      </w:r>
      <w:r w:rsidR="00196B89" w:rsidRPr="00196B89">
        <w:rPr>
          <w:rFonts w:ascii="Arial Narrow" w:eastAsia="Calibri" w:hAnsi="Arial Narrow"/>
          <w:sz w:val="22"/>
          <w:szCs w:val="22"/>
          <w:lang w:val="en-US" w:eastAsia="en-US"/>
        </w:rPr>
        <w:t xml:space="preserve"> important that the final Guidelines are framed in terms that adequately gauge the cost-benefit of new requirements.</w:t>
      </w:r>
    </w:p>
    <w:p w14:paraId="16E712A1" w14:textId="502E334F" w:rsidR="00196B89" w:rsidRPr="00196B89" w:rsidRDefault="00196B89" w:rsidP="00196B89">
      <w:pPr>
        <w:tabs>
          <w:tab w:val="left" w:pos="-284"/>
        </w:tabs>
        <w:spacing w:after="160" w:line="259" w:lineRule="auto"/>
        <w:ind w:right="-284"/>
        <w:jc w:val="both"/>
        <w:rPr>
          <w:rFonts w:ascii="Arial Narrow" w:eastAsia="Calibri" w:hAnsi="Arial Narrow"/>
          <w:sz w:val="22"/>
          <w:szCs w:val="22"/>
          <w:lang w:val="en-US" w:eastAsia="en-US"/>
        </w:rPr>
      </w:pPr>
      <w:r w:rsidRPr="00196B89">
        <w:rPr>
          <w:rFonts w:ascii="Arial Narrow" w:eastAsia="Calibri" w:hAnsi="Arial Narrow"/>
          <w:sz w:val="22"/>
          <w:szCs w:val="22"/>
          <w:lang w:val="en-US" w:eastAsia="en-US"/>
        </w:rPr>
        <w:t xml:space="preserve">Thus, it is key to avoid </w:t>
      </w:r>
      <w:r w:rsidR="00057085">
        <w:rPr>
          <w:rFonts w:ascii="Arial Narrow" w:eastAsia="Calibri" w:hAnsi="Arial Narrow"/>
          <w:sz w:val="22"/>
          <w:szCs w:val="22"/>
          <w:lang w:val="en-US" w:eastAsia="en-US"/>
        </w:rPr>
        <w:t xml:space="preserve">the </w:t>
      </w:r>
      <w:r w:rsidRPr="00196B89">
        <w:rPr>
          <w:rFonts w:ascii="Arial Narrow" w:eastAsia="Calibri" w:hAnsi="Arial Narrow"/>
          <w:sz w:val="22"/>
          <w:szCs w:val="22"/>
          <w:lang w:val="en-US" w:eastAsia="en-US"/>
        </w:rPr>
        <w:t xml:space="preserve">negative impacts hat the Guidelines, as currently drafted, would have: </w:t>
      </w:r>
    </w:p>
    <w:p w14:paraId="39C2575F" w14:textId="77777777" w:rsidR="00196B89" w:rsidRPr="00196B89" w:rsidRDefault="00196B89" w:rsidP="00057085">
      <w:pPr>
        <w:numPr>
          <w:ilvl w:val="0"/>
          <w:numId w:val="47"/>
        </w:numPr>
        <w:tabs>
          <w:tab w:val="left" w:pos="-284"/>
        </w:tabs>
        <w:spacing w:after="160" w:line="259" w:lineRule="auto"/>
        <w:ind w:left="294" w:right="-284"/>
        <w:contextualSpacing/>
        <w:jc w:val="both"/>
        <w:rPr>
          <w:rFonts w:ascii="Arial Narrow" w:eastAsia="Calibri" w:hAnsi="Arial Narrow"/>
          <w:sz w:val="22"/>
          <w:szCs w:val="22"/>
          <w:lang w:val="en-US" w:eastAsia="en-US"/>
        </w:rPr>
      </w:pPr>
      <w:r w:rsidRPr="00196B89">
        <w:rPr>
          <w:rFonts w:ascii="Arial Narrow" w:eastAsia="Calibri" w:hAnsi="Arial Narrow"/>
          <w:sz w:val="22"/>
          <w:szCs w:val="22"/>
          <w:lang w:val="en-US" w:eastAsia="en-US"/>
        </w:rPr>
        <w:t xml:space="preserve">The overlap and generation of inconsistencies with existing sustainable finance regulations and, possibly, with the future ecolabel. </w:t>
      </w:r>
    </w:p>
    <w:p w14:paraId="6F9EA9C8" w14:textId="77777777" w:rsidR="00196B89" w:rsidRPr="00196B89" w:rsidRDefault="00196B89" w:rsidP="00057085">
      <w:pPr>
        <w:numPr>
          <w:ilvl w:val="0"/>
          <w:numId w:val="47"/>
        </w:numPr>
        <w:tabs>
          <w:tab w:val="left" w:pos="-284"/>
        </w:tabs>
        <w:spacing w:after="160" w:line="259" w:lineRule="auto"/>
        <w:ind w:left="294" w:right="-284"/>
        <w:contextualSpacing/>
        <w:jc w:val="both"/>
        <w:rPr>
          <w:rFonts w:ascii="Arial Narrow" w:eastAsia="Calibri" w:hAnsi="Arial Narrow"/>
          <w:sz w:val="22"/>
          <w:szCs w:val="22"/>
          <w:lang w:val="en-US" w:eastAsia="en-US"/>
        </w:rPr>
      </w:pPr>
      <w:r w:rsidRPr="00196B89">
        <w:rPr>
          <w:rFonts w:ascii="Arial Narrow" w:eastAsia="Calibri" w:hAnsi="Arial Narrow"/>
          <w:sz w:val="22"/>
          <w:szCs w:val="22"/>
          <w:lang w:val="en-US" w:eastAsia="en-US"/>
        </w:rPr>
        <w:t>The risk of entities restricting the launch of more funds with a sustainable bias due to excessively strict or inadequate criteria.</w:t>
      </w:r>
    </w:p>
    <w:p w14:paraId="34E4486E" w14:textId="77777777" w:rsidR="00196B89" w:rsidRPr="00196B89" w:rsidRDefault="00196B89" w:rsidP="00057085">
      <w:pPr>
        <w:numPr>
          <w:ilvl w:val="0"/>
          <w:numId w:val="47"/>
        </w:numPr>
        <w:tabs>
          <w:tab w:val="left" w:pos="-284"/>
        </w:tabs>
        <w:spacing w:after="160" w:line="259" w:lineRule="auto"/>
        <w:ind w:left="294" w:right="-284"/>
        <w:contextualSpacing/>
        <w:jc w:val="both"/>
        <w:rPr>
          <w:rFonts w:ascii="Arial Narrow" w:eastAsia="Calibri" w:hAnsi="Arial Narrow"/>
          <w:sz w:val="22"/>
          <w:szCs w:val="22"/>
          <w:lang w:val="en-US" w:eastAsia="en-US"/>
        </w:rPr>
      </w:pPr>
      <w:r w:rsidRPr="00196B89">
        <w:rPr>
          <w:rFonts w:ascii="Arial Narrow" w:eastAsia="Calibri" w:hAnsi="Arial Narrow"/>
          <w:sz w:val="22"/>
          <w:szCs w:val="22"/>
          <w:lang w:val="en-US" w:eastAsia="en-US"/>
        </w:rPr>
        <w:t xml:space="preserve">Increasing difficulties in understanding the differences between the various sustainably biased savings-investment financial products and the different levels of protection faced by investors. </w:t>
      </w:r>
    </w:p>
    <w:p w14:paraId="34BB77A8" w14:textId="77777777" w:rsidR="00196B89" w:rsidRPr="00196B89" w:rsidRDefault="00196B89" w:rsidP="00057085">
      <w:pPr>
        <w:numPr>
          <w:ilvl w:val="0"/>
          <w:numId w:val="47"/>
        </w:numPr>
        <w:tabs>
          <w:tab w:val="left" w:pos="-284"/>
        </w:tabs>
        <w:spacing w:after="160" w:line="259" w:lineRule="auto"/>
        <w:ind w:left="294" w:right="-284"/>
        <w:contextualSpacing/>
        <w:jc w:val="both"/>
        <w:rPr>
          <w:rFonts w:ascii="Arial Narrow" w:eastAsia="Calibri" w:hAnsi="Arial Narrow"/>
          <w:sz w:val="22"/>
          <w:szCs w:val="22"/>
          <w:lang w:val="en-US" w:eastAsia="en-US"/>
        </w:rPr>
      </w:pPr>
      <w:r w:rsidRPr="00196B89">
        <w:rPr>
          <w:rFonts w:ascii="Arial Narrow" w:eastAsia="Calibri" w:hAnsi="Arial Narrow"/>
          <w:sz w:val="22"/>
          <w:szCs w:val="22"/>
          <w:lang w:val="en-US" w:eastAsia="en-US"/>
        </w:rPr>
        <w:t xml:space="preserve">The costs arising from continuous regulatory changes at the level of local NCAs, investment managers and ultimately unit-holders. </w:t>
      </w:r>
    </w:p>
    <w:p w14:paraId="16EA3DC1" w14:textId="77777777" w:rsidR="00196B89" w:rsidRPr="00196B89" w:rsidRDefault="00196B89" w:rsidP="00057085">
      <w:pPr>
        <w:numPr>
          <w:ilvl w:val="0"/>
          <w:numId w:val="47"/>
        </w:numPr>
        <w:tabs>
          <w:tab w:val="left" w:pos="-284"/>
        </w:tabs>
        <w:spacing w:after="160" w:line="259" w:lineRule="auto"/>
        <w:ind w:left="294" w:right="-284"/>
        <w:contextualSpacing/>
        <w:jc w:val="both"/>
        <w:rPr>
          <w:rFonts w:ascii="Arial Narrow" w:eastAsia="Calibri" w:hAnsi="Arial Narrow"/>
          <w:sz w:val="22"/>
          <w:szCs w:val="22"/>
          <w:lang w:val="en-US" w:eastAsia="en-US"/>
        </w:rPr>
      </w:pPr>
      <w:r w:rsidRPr="00196B89">
        <w:rPr>
          <w:rFonts w:ascii="Arial Narrow" w:eastAsia="Calibri" w:hAnsi="Arial Narrow"/>
          <w:sz w:val="22"/>
          <w:szCs w:val="22"/>
          <w:lang w:val="en-US" w:eastAsia="en-US"/>
        </w:rPr>
        <w:t>High reputational risks arising from the incorporation of non-cross-cutting sustainable finance criteria across financial products.</w:t>
      </w:r>
    </w:p>
    <w:p w14:paraId="334FC0CC" w14:textId="77777777" w:rsidR="00196B89" w:rsidRPr="00196B89" w:rsidRDefault="00196B89" w:rsidP="00196B89">
      <w:pPr>
        <w:tabs>
          <w:tab w:val="left" w:pos="-284"/>
        </w:tabs>
        <w:spacing w:after="160" w:line="259" w:lineRule="auto"/>
        <w:ind w:left="720" w:right="-284"/>
        <w:contextualSpacing/>
        <w:jc w:val="both"/>
        <w:rPr>
          <w:rFonts w:ascii="Arial Narrow" w:eastAsia="Calibri" w:hAnsi="Arial Narrow"/>
          <w:sz w:val="22"/>
          <w:szCs w:val="22"/>
          <w:lang w:val="en-US" w:eastAsia="en-US"/>
        </w:rPr>
      </w:pPr>
    </w:p>
    <w:p w14:paraId="6F6494D0" w14:textId="6310DE49" w:rsidR="00B92885" w:rsidRPr="00196B89" w:rsidRDefault="00B92885" w:rsidP="00196B89">
      <w:pPr>
        <w:rPr>
          <w:lang w:val="en-US"/>
        </w:rPr>
      </w:pPr>
    </w:p>
    <w:permEnd w:id="929254269"/>
    <w:p w14:paraId="00ADF191" w14:textId="77777777" w:rsidR="00B92885" w:rsidRDefault="00B92885" w:rsidP="00B92885">
      <w:r>
        <w:t>&lt;ESMA_QUESTION_FUNA_15&gt;</w:t>
      </w:r>
    </w:p>
    <w:p w14:paraId="2C1900D9" w14:textId="77777777" w:rsidR="00B92885" w:rsidRDefault="00B92885" w:rsidP="00B92885"/>
    <w:p w14:paraId="56424F03" w14:textId="77777777" w:rsidR="00B92885" w:rsidRPr="00C24402" w:rsidRDefault="00B92885" w:rsidP="00057085">
      <w:pPr>
        <w:pStyle w:val="Questionstyle"/>
        <w:numPr>
          <w:ilvl w:val="0"/>
          <w:numId w:val="37"/>
        </w:numPr>
      </w:pPr>
      <w:r>
        <w:t xml:space="preserve">: </w:t>
      </w:r>
      <w:r w:rsidRPr="00D5777E">
        <w:t>What additional costs and benefits would compliance with the proposed Guidelines bring to the stakeholder(s) you represent? Please provide quantitative figures, where available.</w:t>
      </w:r>
      <w:r w:rsidRPr="00C24402">
        <w:t xml:space="preserve"> </w:t>
      </w:r>
    </w:p>
    <w:p w14:paraId="48DE04B0" w14:textId="77777777" w:rsidR="00B92885" w:rsidRDefault="00B92885" w:rsidP="00B92885">
      <w:r>
        <w:t>&lt;ESMA_QUESTION_FUNA_16&gt;</w:t>
      </w:r>
    </w:p>
    <w:p w14:paraId="3387890A" w14:textId="77777777" w:rsidR="007B6070" w:rsidRDefault="007B6070" w:rsidP="00196B89">
      <w:pPr>
        <w:tabs>
          <w:tab w:val="left" w:pos="-284"/>
        </w:tabs>
        <w:spacing w:after="160" w:line="259" w:lineRule="auto"/>
        <w:ind w:right="-284"/>
        <w:jc w:val="both"/>
        <w:rPr>
          <w:rFonts w:ascii="Arial Narrow" w:eastAsia="Calibri" w:hAnsi="Arial Narrow"/>
          <w:sz w:val="22"/>
          <w:szCs w:val="22"/>
          <w:lang w:val="en-US" w:eastAsia="en-US"/>
        </w:rPr>
      </w:pPr>
      <w:permStart w:id="878708964" w:edGrp="everyone"/>
    </w:p>
    <w:p w14:paraId="3344ACF6" w14:textId="62B7781B" w:rsidR="00196B89" w:rsidRPr="00196B89" w:rsidRDefault="00196B89" w:rsidP="00196B89">
      <w:pPr>
        <w:tabs>
          <w:tab w:val="left" w:pos="-284"/>
        </w:tabs>
        <w:spacing w:after="160" w:line="259" w:lineRule="auto"/>
        <w:ind w:right="-284"/>
        <w:jc w:val="both"/>
        <w:rPr>
          <w:rFonts w:ascii="Arial Narrow" w:eastAsia="Calibri" w:hAnsi="Arial Narrow"/>
          <w:sz w:val="22"/>
          <w:szCs w:val="22"/>
          <w:lang w:val="en-US" w:eastAsia="en-US"/>
        </w:rPr>
      </w:pPr>
      <w:r w:rsidRPr="00196B89">
        <w:rPr>
          <w:rFonts w:ascii="Arial Narrow" w:eastAsia="Calibri" w:hAnsi="Arial Narrow"/>
          <w:sz w:val="22"/>
          <w:szCs w:val="22"/>
          <w:lang w:val="en-US" w:eastAsia="en-US"/>
        </w:rPr>
        <w:t>See answers 15 and 13.</w:t>
      </w:r>
    </w:p>
    <w:p w14:paraId="0866A6F6" w14:textId="4199E817" w:rsidR="00B92885" w:rsidRDefault="00B92885" w:rsidP="00B92885"/>
    <w:permEnd w:id="878708964"/>
    <w:p w14:paraId="651FE8BB" w14:textId="77777777" w:rsidR="00B92885" w:rsidRDefault="00B92885" w:rsidP="00B92885">
      <w:r>
        <w:t>&lt;ESMA_QUESTION_FUNA_16&gt;</w:t>
      </w:r>
    </w:p>
    <w:p w14:paraId="6D8E7793" w14:textId="14304513" w:rsidR="00F87897" w:rsidRDefault="00F87897" w:rsidP="00057085">
      <w:pPr>
        <w:pStyle w:val="Questionstyle"/>
        <w:numPr>
          <w:ilvl w:val="0"/>
          <w:numId w:val="37"/>
        </w:numPr>
        <w:rPr>
          <w:rFonts w:cstheme="minorBidi"/>
          <w:b w:val="0"/>
          <w:sz w:val="22"/>
          <w:lang w:eastAsia="en-US"/>
        </w:rPr>
      </w:pPr>
    </w:p>
    <w:sectPr w:rsidR="00F87897" w:rsidSect="00A8728B">
      <w:headerReference w:type="even" r:id="rId18"/>
      <w:headerReference w:type="first" r:id="rId19"/>
      <w:footerReference w:type="first" r:id="rId20"/>
      <w:pgSz w:w="11906" w:h="16838" w:code="9"/>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BCC69" w14:textId="77777777" w:rsidR="00027EEB" w:rsidRDefault="00027EEB">
      <w:r>
        <w:separator/>
      </w:r>
    </w:p>
    <w:p w14:paraId="5DDDA9E4" w14:textId="77777777" w:rsidR="00027EEB" w:rsidRDefault="00027EEB"/>
  </w:endnote>
  <w:endnote w:type="continuationSeparator" w:id="0">
    <w:p w14:paraId="669BAB8A" w14:textId="77777777" w:rsidR="00027EEB" w:rsidRDefault="00027EEB">
      <w:r>
        <w:continuationSeparator/>
      </w:r>
    </w:p>
    <w:p w14:paraId="7D10BF9F" w14:textId="77777777" w:rsidR="00027EEB" w:rsidRDefault="00027EEB"/>
  </w:endnote>
  <w:endnote w:type="continuationNotice" w:id="1">
    <w:p w14:paraId="7C72917A" w14:textId="77777777" w:rsidR="00027EEB" w:rsidRDefault="00027E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Yu Gothic"/>
    <w:charset w:val="80"/>
    <w:family w:val="swiss"/>
    <w:pitch w:val="default"/>
  </w:font>
  <w:font w:name="EUAlbertina">
    <w:altName w:val="Cambr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267551" w:rsidRPr="00616B9B" w14:paraId="313FAE1A" w14:textId="77777777" w:rsidTr="00315E96">
      <w:trPr>
        <w:trHeight w:val="284"/>
      </w:trPr>
      <w:tc>
        <w:tcPr>
          <w:tcW w:w="8460" w:type="dxa"/>
        </w:tcPr>
        <w:p w14:paraId="0BEF8BC6" w14:textId="77777777" w:rsidR="00267551" w:rsidRPr="00315E96" w:rsidRDefault="00267551" w:rsidP="00315E96">
          <w:pPr>
            <w:pStyle w:val="00Footer"/>
            <w:rPr>
              <w:lang w:val="fr-FR"/>
            </w:rPr>
          </w:pPr>
        </w:p>
      </w:tc>
      <w:tc>
        <w:tcPr>
          <w:tcW w:w="952" w:type="dxa"/>
        </w:tcPr>
        <w:p w14:paraId="7FD1DE07" w14:textId="77777777" w:rsidR="00267551" w:rsidRPr="00616B9B" w:rsidRDefault="00267551" w:rsidP="002C5B2D">
          <w:pPr>
            <w:pStyle w:val="00aPagenumber"/>
            <w:rPr>
              <w:rFonts w:cs="Arial"/>
              <w:sz w:val="22"/>
              <w:szCs w:val="22"/>
            </w:rPr>
          </w:pPr>
          <w:r w:rsidRPr="00616B9B">
            <w:rPr>
              <w:rFonts w:cs="Arial"/>
              <w:sz w:val="22"/>
              <w:szCs w:val="22"/>
            </w:rPr>
            <w:fldChar w:fldCharType="begin"/>
          </w:r>
          <w:r w:rsidRPr="00616B9B">
            <w:rPr>
              <w:rFonts w:cs="Arial"/>
              <w:sz w:val="22"/>
              <w:szCs w:val="22"/>
            </w:rPr>
            <w:instrText xml:space="preserve"> PAGE </w:instrText>
          </w:r>
          <w:r w:rsidRPr="00616B9B">
            <w:rPr>
              <w:rFonts w:cs="Arial"/>
              <w:sz w:val="22"/>
              <w:szCs w:val="22"/>
            </w:rPr>
            <w:fldChar w:fldCharType="separate"/>
          </w:r>
          <w:r>
            <w:rPr>
              <w:rFonts w:cs="Arial"/>
              <w:noProof/>
              <w:sz w:val="22"/>
              <w:szCs w:val="22"/>
            </w:rPr>
            <w:t>8</w:t>
          </w:r>
          <w:r w:rsidRPr="00616B9B">
            <w:rPr>
              <w:rFonts w:cs="Arial"/>
              <w:noProof/>
              <w:sz w:val="22"/>
              <w:szCs w:val="22"/>
            </w:rPr>
            <w:fldChar w:fldCharType="end"/>
          </w:r>
        </w:p>
      </w:tc>
    </w:tr>
  </w:tbl>
  <w:p w14:paraId="7306E326" w14:textId="77777777" w:rsidR="00267551" w:rsidRDefault="0026755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75726" w14:textId="4CF051A6" w:rsidR="00267551" w:rsidRDefault="00267551" w:rsidP="00B92885">
    <w:pPr>
      <w:pStyle w:val="Piedepgina"/>
      <w:tabs>
        <w:tab w:val="clear" w:pos="4536"/>
        <w:tab w:val="clear" w:pos="9072"/>
        <w:tab w:val="left" w:pos="8227"/>
        <w:tab w:val="right" w:pos="9412"/>
      </w:tabs>
    </w:pPr>
    <w:r>
      <w:tab/>
    </w:r>
    <w:r w:rsidR="00B92885">
      <w:tab/>
    </w:r>
  </w:p>
  <w:p w14:paraId="3A793707" w14:textId="084F8123" w:rsidR="00B92885" w:rsidRDefault="00B92885" w:rsidP="00B92885">
    <w:pPr>
      <w:pStyle w:val="Piedepgina"/>
      <w:tabs>
        <w:tab w:val="clear" w:pos="4536"/>
        <w:tab w:val="clear" w:pos="9072"/>
        <w:tab w:val="left" w:pos="8227"/>
        <w:tab w:val="right" w:pos="9412"/>
      </w:tabs>
    </w:pPr>
    <w:r>
      <w:tab/>
    </w:r>
    <w:r>
      <w:tab/>
    </w:r>
    <w:r>
      <w:tab/>
    </w:r>
  </w:p>
  <w:p w14:paraId="6D19C66C" w14:textId="10DE0B9B" w:rsidR="00B92885" w:rsidRDefault="00B92885" w:rsidP="00B92885">
    <w:pPr>
      <w:pStyle w:val="Piedepgina"/>
      <w:tabs>
        <w:tab w:val="clear" w:pos="4536"/>
        <w:tab w:val="clear" w:pos="9072"/>
        <w:tab w:val="left" w:pos="8227"/>
        <w:tab w:val="right" w:pos="9412"/>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822F5" w14:textId="77777777" w:rsidR="00267551" w:rsidRDefault="0026755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4D776" w14:textId="77777777" w:rsidR="00027EEB" w:rsidRDefault="00027EEB">
      <w:r>
        <w:separator/>
      </w:r>
    </w:p>
    <w:p w14:paraId="4E8AA966" w14:textId="77777777" w:rsidR="00027EEB" w:rsidRDefault="00027EEB"/>
  </w:footnote>
  <w:footnote w:type="continuationSeparator" w:id="0">
    <w:p w14:paraId="457E26AD" w14:textId="77777777" w:rsidR="00027EEB" w:rsidRDefault="00027EEB">
      <w:r>
        <w:continuationSeparator/>
      </w:r>
    </w:p>
    <w:p w14:paraId="139EA58C" w14:textId="77777777" w:rsidR="00027EEB" w:rsidRDefault="00027EEB"/>
  </w:footnote>
  <w:footnote w:type="continuationNotice" w:id="1">
    <w:p w14:paraId="1C504C77" w14:textId="77777777" w:rsidR="00027EEB" w:rsidRDefault="00027EEB"/>
  </w:footnote>
  <w:footnote w:id="2">
    <w:p w14:paraId="47F7B767" w14:textId="77777777" w:rsidR="006E59DD" w:rsidRPr="00AD365E" w:rsidRDefault="006E59DD" w:rsidP="006E59DD">
      <w:pPr>
        <w:pStyle w:val="Textonotapie"/>
        <w:rPr>
          <w:rFonts w:ascii="Arial Narrow" w:hAnsi="Arial Narrow"/>
          <w:lang w:val="en-US"/>
        </w:rPr>
      </w:pPr>
      <w:r w:rsidRPr="00AD365E">
        <w:rPr>
          <w:rStyle w:val="Refdenotaalpie"/>
          <w:rFonts w:ascii="Arial Narrow" w:hAnsi="Arial Narrow"/>
          <w:sz w:val="18"/>
          <w:szCs w:val="18"/>
          <w:lang w:val="en-US"/>
        </w:rPr>
        <w:footnoteRef/>
      </w:r>
      <w:r w:rsidRPr="00AD365E">
        <w:rPr>
          <w:rFonts w:ascii="Arial Narrow" w:hAnsi="Arial Narrow"/>
          <w:sz w:val="18"/>
          <w:szCs w:val="18"/>
          <w:lang w:val="en-US"/>
        </w:rPr>
        <w:t xml:space="preserve"> It could be included in proposals to be submitted by ESAS to the EC in response to its August 2022 EC Request for Advice on monitoring sustainable finance policies and the risk of greenwashing.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47985" w14:textId="77777777" w:rsidR="00267551" w:rsidRDefault="00267551">
    <w:pPr>
      <w:pStyle w:val="Encabezado"/>
    </w:pPr>
    <w:r>
      <w:rPr>
        <w:noProof/>
        <w:lang w:eastAsia="en-GB"/>
      </w:rPr>
      <w:drawing>
        <wp:anchor distT="0" distB="0" distL="114300" distR="114300" simplePos="0" relativeHeight="251658243" behindDoc="0" locked="0" layoutInCell="1" allowOverlap="1" wp14:anchorId="3805F143" wp14:editId="57057423">
          <wp:simplePos x="0" y="0"/>
          <wp:positionH relativeFrom="page">
            <wp:posOffset>791845</wp:posOffset>
          </wp:positionH>
          <wp:positionV relativeFrom="page">
            <wp:posOffset>612140</wp:posOffset>
          </wp:positionV>
          <wp:extent cx="561975" cy="561975"/>
          <wp:effectExtent l="0" t="0" r="9525" b="9525"/>
          <wp:wrapNone/>
          <wp:docPr id="5" name="Picture 23"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295" distR="114295" simplePos="0" relativeHeight="251658241" behindDoc="0" locked="0" layoutInCell="1" allowOverlap="1" wp14:anchorId="07454E51" wp14:editId="08DA269C">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2D870" id="Line 16" o:spid="_x0000_s1026" style="position:absolute;z-index:251658241;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tSOsgEAAEgDAAAOAAAAZHJzL2Uyb0RvYy54bWysU01v2zAMvQ/YfxB0b+ykSBcYcXpI2126&#10;LUC7H8BIsi1UFgVRiZ1/P0lx0m67DbsIFD8eH5+o9f3YG3ZUnjTams9nJWfKCpTatjX/+fp0s+KM&#10;AlgJBq2q+UkRv998/rQeXKUW2KGRyrMIYqkaXM27EFxVFCQ61QPN0Ckbgw36HkK8+raQHoaI3pti&#10;UZZ3xYBeOo9CEUXvwznINxm/aZQIP5qGVGCm5pFbyKfP5z6dxWYNVevBdVpMNOAfWPSgbWx6hXqA&#10;AOzg9V9QvRYeCZswE9gX2DRaqDxDnGZe/jHNSwdO5VmiOOSuMtH/gxXfj1u784m6GO2Le0bxRszi&#10;tgPbqkzg9eTiw82TVMXgqLqWpAu5nWf74RvKmAOHgFmFsfF9gozzsTGLfbqKrcbAxNkpone5XM3v&#10;lhkcqkud8xS+KuxZMmputE0yQAXHZwqJB1SXlOS2+KSNyU9pLBsi2cWXsswVhEbLFE155Nv91nh2&#10;hLgNi9XtcnU7Nf4tzePByozWKZCPkx1Am7Mduxs7iZHmT8tG1R7laecvIsXnyjSn1Ur78PGeq98/&#10;wOYXAAAA//8DAFBLAwQUAAYACAAAACEAM4OqTN4AAAAKAQAADwAAAGRycy9kb3ducmV2LnhtbEyP&#10;wU7DMAyG70i8Q2QkbiztWk2jNJ0QEocK7cBgO6eNaTsap0qyrbw9RhzgaPvT7+8vN7MdxRl9GBwp&#10;SBcJCKTWmYE6Be9vz3drECFqMnp0hAq+MMCmur4qdWHchV7xvIud4BAKhVbQxzgVUoa2R6vDwk1I&#10;fPtw3urIo++k8frC4XaUyyRZSasH4g+9nvCpx/Zzd7IK5kYmL+6Yb9N0j1l9PNTbxtdK3d7Mjw8g&#10;Is7xD4YffVaHip0adyITxKhgmWesHhXcr3IQDPwuGibXeQayKuX/CtU3AAAA//8DAFBLAQItABQA&#10;BgAIAAAAIQC2gziS/gAAAOEBAAATAAAAAAAAAAAAAAAAAAAAAABbQ29udGVudF9UeXBlc10ueG1s&#10;UEsBAi0AFAAGAAgAAAAhADj9If/WAAAAlAEAAAsAAAAAAAAAAAAAAAAALwEAAF9yZWxzLy5yZWxz&#10;UEsBAi0AFAAGAAgAAAAhAAsu1I6yAQAASAMAAA4AAAAAAAAAAAAAAAAALgIAAGRycy9lMm9Eb2Mu&#10;eG1sUEsBAi0AFAAGAAgAAAAhADODqkzeAAAACgEAAA8AAAAAAAAAAAAAAAAADAQAAGRycy9kb3du&#10;cmV2LnhtbFBLBQYAAAAABAAEAPMAAAAXBQAAAAA=&#10;" strokecolor="#283583" strokeweight="1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8EEA6" w14:textId="77777777" w:rsidR="00267551" w:rsidRDefault="00267551" w:rsidP="00013CCE">
    <w:pPr>
      <w:pStyle w:val="Encabezado"/>
      <w:jc w:val="right"/>
    </w:pPr>
    <w:r>
      <w:rPr>
        <w:noProof/>
        <w:lang w:eastAsia="en-GB"/>
      </w:rPr>
      <w:drawing>
        <wp:anchor distT="0" distB="0" distL="114300" distR="114300" simplePos="0" relativeHeight="251658242" behindDoc="0" locked="0" layoutInCell="1" allowOverlap="1" wp14:anchorId="3407F674" wp14:editId="30869A6E">
          <wp:simplePos x="0" y="0"/>
          <wp:positionH relativeFrom="page">
            <wp:posOffset>377825</wp:posOffset>
          </wp:positionH>
          <wp:positionV relativeFrom="page">
            <wp:posOffset>377825</wp:posOffset>
          </wp:positionV>
          <wp:extent cx="2209800" cy="904875"/>
          <wp:effectExtent l="0" t="0" r="0" b="9525"/>
          <wp:wrapNone/>
          <wp:docPr id="7" name="Picture 22"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36DF4315" wp14:editId="2E1D3D4B">
          <wp:simplePos x="0" y="0"/>
          <wp:positionH relativeFrom="page">
            <wp:posOffset>0</wp:posOffset>
          </wp:positionH>
          <wp:positionV relativeFrom="page">
            <wp:posOffset>3895725</wp:posOffset>
          </wp:positionV>
          <wp:extent cx="7560310" cy="6800850"/>
          <wp:effectExtent l="0" t="0" r="2540" b="0"/>
          <wp:wrapNone/>
          <wp:docPr id="8"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EA3DA" w14:textId="77777777" w:rsidR="00267551" w:rsidRDefault="0026755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267551" w:rsidRPr="002F4496" w14:paraId="60C7474C" w14:textId="77777777" w:rsidTr="000C06C9">
      <w:trPr>
        <w:trHeight w:val="284"/>
      </w:trPr>
      <w:tc>
        <w:tcPr>
          <w:tcW w:w="8460" w:type="dxa"/>
        </w:tcPr>
        <w:p w14:paraId="54B7E7F0" w14:textId="77777777" w:rsidR="00267551" w:rsidRPr="000C3B6D" w:rsidRDefault="00267551" w:rsidP="000C06C9">
          <w:pPr>
            <w:pStyle w:val="00Footer"/>
            <w:rPr>
              <w:lang w:val="fr-FR"/>
            </w:rPr>
          </w:pPr>
        </w:p>
      </w:tc>
      <w:tc>
        <w:tcPr>
          <w:tcW w:w="952" w:type="dxa"/>
        </w:tcPr>
        <w:p w14:paraId="2E49D042" w14:textId="77777777" w:rsidR="00267551" w:rsidRPr="00146B34" w:rsidRDefault="00267551" w:rsidP="000C06C9">
          <w:pPr>
            <w:pStyle w:val="00aPagenumber"/>
            <w:rPr>
              <w:lang w:val="fr-FR"/>
            </w:rPr>
          </w:pPr>
        </w:p>
      </w:tc>
    </w:tr>
  </w:tbl>
  <w:p w14:paraId="580707D9" w14:textId="77777777" w:rsidR="00267551" w:rsidRPr="00DB46C3" w:rsidRDefault="00267551">
    <w:pPr>
      <w:rPr>
        <w:lang w:val="fr-FR"/>
      </w:rPr>
    </w:pPr>
  </w:p>
  <w:p w14:paraId="20C4F67C" w14:textId="77777777" w:rsidR="00267551" w:rsidRPr="002F4496" w:rsidRDefault="00267551">
    <w:pPr>
      <w:pStyle w:val="Encabezado"/>
      <w:rPr>
        <w:lang w:val="fr-FR"/>
      </w:rPr>
    </w:pPr>
  </w:p>
  <w:p w14:paraId="3F30C70B" w14:textId="77777777" w:rsidR="00267551" w:rsidRPr="002F4496" w:rsidRDefault="00267551" w:rsidP="000C06C9">
    <w:pPr>
      <w:pStyle w:val="Encabezado"/>
      <w:tabs>
        <w:tab w:val="clear" w:pos="4536"/>
        <w:tab w:val="clear" w:pos="9072"/>
        <w:tab w:val="left" w:pos="8227"/>
      </w:tabs>
      <w:rPr>
        <w:lang w:val="fr-FR"/>
      </w:rPr>
    </w:pPr>
  </w:p>
  <w:p w14:paraId="4D50BC39" w14:textId="77777777" w:rsidR="00267551" w:rsidRPr="002F4496" w:rsidRDefault="00267551" w:rsidP="00583885">
    <w:pPr>
      <w:pStyle w:val="Encabezado"/>
      <w:jc w:val="right"/>
      <w:rPr>
        <w:lang w:val="fr-FR"/>
      </w:rPr>
    </w:pPr>
  </w:p>
  <w:p w14:paraId="2D51BEA2" w14:textId="77777777" w:rsidR="00267551" w:rsidRPr="002F4496" w:rsidRDefault="00267551">
    <w:pPr>
      <w:pStyle w:val="Encabezado"/>
      <w:rPr>
        <w:lang w:val="fr-FR"/>
      </w:rPr>
    </w:pPr>
  </w:p>
  <w:p w14:paraId="340B2438" w14:textId="77777777" w:rsidR="00267551" w:rsidRPr="002F4496" w:rsidRDefault="00267551">
    <w:pPr>
      <w:pStyle w:val="Encabezado"/>
      <w:rPr>
        <w:lang w:val="fr-FR"/>
      </w:rPr>
    </w:pPr>
  </w:p>
  <w:p w14:paraId="2A794A3E" w14:textId="77777777" w:rsidR="00267551" w:rsidRPr="002F4496" w:rsidRDefault="00267551">
    <w:pPr>
      <w:pStyle w:val="Encabezado"/>
      <w:rPr>
        <w:lang w:val="fr-FR"/>
      </w:rPr>
    </w:pPr>
  </w:p>
  <w:p w14:paraId="0A21F475" w14:textId="77777777" w:rsidR="00267551" w:rsidRPr="002F4496" w:rsidRDefault="00267551">
    <w:pPr>
      <w:pStyle w:val="Encabezado"/>
      <w:rPr>
        <w:highlight w:val="yellow"/>
        <w:lang w:val="fr-FR"/>
      </w:rPr>
    </w:pPr>
  </w:p>
  <w:p w14:paraId="53ABEE5D" w14:textId="77777777" w:rsidR="00267551" w:rsidRDefault="00267551">
    <w:pPr>
      <w:pStyle w:val="Encabezado"/>
    </w:pPr>
    <w:r>
      <w:rPr>
        <w:noProof/>
        <w:lang w:eastAsia="en-GB"/>
      </w:rPr>
      <mc:AlternateContent>
        <mc:Choice Requires="wps">
          <w:drawing>
            <wp:anchor distT="0" distB="0" distL="114299" distR="114299" simplePos="0" relativeHeight="251658245" behindDoc="0" locked="0" layoutInCell="1" allowOverlap="1" wp14:anchorId="22F5F3E4" wp14:editId="509A417A">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C18BA" id="Straight Connector 138" o:spid="_x0000_s1026" style="position:absolute;z-index:251658245;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ezjsgEAAEgDAAAOAAAAZHJzL2Uyb0RvYy54bWysU8tu2zAQvBfoPxC815IdpLEFyzk4TS9p&#10;ayDpB6xJSiJCcQkubcl/X5KWnT5uRS7Ech+zs8Pl+n7sDTsqTxptzeezkjNlBUpt25r/fHn8tOSM&#10;AlgJBq2q+UkRv998/LAeXKUW2KGRyrMIYqkaXM27EFxVFCQ61QPN0Ckbgw36HkK8+raQHoaI3pti&#10;UZafiwG9dB6FIoreh3OQbzJ+0ygRfjQNqcBMzSO3kE+fz306i80aqtaD67SYaMB/sOhB29j0CvUA&#10;AdjB63+gei08EjZhJrAvsGm0UHmGOM28/Gua5w6cyrNEcchdZaL3gxXfj1u784m6GO2ze0LxSszi&#10;tgPbqkzg5eTiw82TVMXgqLqWpAu5nWf74RvKmAOHgFmFsfF9gozzsTGLfbqKrcbAxNkpone5Wt2t&#10;bjM4VJc65yl8VdizZNTcaJtkgAqOTxQSD6guKclt8VEbk5/SWDZEsou7sswVhEbLFE155Nv91nh2&#10;hLgNi+XN7fJmavxHmseDlRmtUyC/THYAbc527G7sJEaaPy0bVXuUp52/iBSfK9OcVivtw+/3XP32&#10;ATa/AAAA//8DAFBLAwQUAAYACAAAACEA9ozhbd8AAAAKAQAADwAAAGRycy9kb3ducmV2LnhtbEyP&#10;zU7DMBCE70i8g7VI3KiTpiptmk2FkDhEqAfKz9mJt0lKvI5stw1vjxEHOO7saOabYjuZQZzJ+d4y&#10;QjpLQBA3VvfcIry9Pt2tQPigWKvBMiF8kYdteX1VqFzbC7/QeR9aEUPY5wqhC2HMpfRNR0b5mR2J&#10;4+9gnVEhnq6V2qlLDDeDnCfJUhrVc2zo1EiPHTWf+5NBmGqZPNvjYpem75RVx49qV7sK8fZmetiA&#10;CDSFPzP84Ed0KCNTbU+svRgQ7tdZRA8I6+UCRDT8CjXCPFulIMtC/p9QfgMAAP//AwBQSwECLQAU&#10;AAYACAAAACEAtoM4kv4AAADhAQAAEwAAAAAAAAAAAAAAAAAAAAAAW0NvbnRlbnRfVHlwZXNdLnht&#10;bFBLAQItABQABgAIAAAAIQA4/SH/1gAAAJQBAAALAAAAAAAAAAAAAAAAAC8BAABfcmVscy8ucmVs&#10;c1BLAQItABQABgAIAAAAIQATDezjsgEAAEgDAAAOAAAAAAAAAAAAAAAAAC4CAABkcnMvZTJvRG9j&#10;LnhtbFBLAQItABQABgAIAAAAIQD2jOFt3wAAAAoBAAAPAAAAAAAAAAAAAAAAAAwEAABkcnMvZG93&#10;bnJldi54bWxQSwUGAAAAAAQABADzAAAAGAUAAAAA&#10;" strokecolor="#283583" strokeweight="1pt">
              <w10:wrap anchorx="page" anchory="page"/>
            </v:line>
          </w:pict>
        </mc:Fallback>
      </mc:AlternateContent>
    </w:r>
    <w:r>
      <w:rPr>
        <w:noProof/>
        <w:lang w:eastAsia="en-GB"/>
      </w:rPr>
      <w:drawing>
        <wp:anchor distT="0" distB="0" distL="114300" distR="114300" simplePos="0" relativeHeight="251658244" behindDoc="0" locked="0" layoutInCell="1" allowOverlap="1" wp14:anchorId="48CEC262" wp14:editId="3F03F401">
          <wp:simplePos x="0" y="0"/>
          <wp:positionH relativeFrom="page">
            <wp:posOffset>791845</wp:posOffset>
          </wp:positionH>
          <wp:positionV relativeFrom="page">
            <wp:posOffset>612140</wp:posOffset>
          </wp:positionV>
          <wp:extent cx="2209800" cy="904875"/>
          <wp:effectExtent l="0" t="0" r="0" b="9525"/>
          <wp:wrapNone/>
          <wp:docPr id="1" name="Picture 140"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1" w15:restartNumberingAfterBreak="0">
    <w:nsid w:val="027D1BC5"/>
    <w:multiLevelType w:val="hybridMultilevel"/>
    <w:tmpl w:val="00D89C44"/>
    <w:lvl w:ilvl="0" w:tplc="08090001">
      <w:start w:val="1"/>
      <w:numFmt w:val="bullet"/>
      <w:pStyle w:val="Listaconvietas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4" w15:restartNumberingAfterBreak="0">
    <w:nsid w:val="1C3C6171"/>
    <w:multiLevelType w:val="hybridMultilevel"/>
    <w:tmpl w:val="05447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9B0521"/>
    <w:multiLevelType w:val="hybridMultilevel"/>
    <w:tmpl w:val="F76CB20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DAE53C8"/>
    <w:multiLevelType w:val="multilevel"/>
    <w:tmpl w:val="ACFA87A8"/>
    <w:lvl w:ilvl="0">
      <w:start w:val="1"/>
      <w:numFmt w:val="decimal"/>
      <w:pStyle w:val="Textoindependiente"/>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ECC3E4E"/>
    <w:multiLevelType w:val="hybridMultilevel"/>
    <w:tmpl w:val="EF6ED35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20CD1E13"/>
    <w:multiLevelType w:val="hybridMultilevel"/>
    <w:tmpl w:val="38DEF1B0"/>
    <w:lvl w:ilvl="0" w:tplc="B8484E42">
      <w:start w:val="1"/>
      <w:numFmt w:val="lowerLetter"/>
      <w:lvlText w:val="%1)"/>
      <w:lvlJc w:val="left"/>
      <w:pPr>
        <w:ind w:left="360" w:hanging="360"/>
      </w:pPr>
      <w:rPr>
        <w:b/>
        <w:bCs/>
      </w:rPr>
    </w:lvl>
    <w:lvl w:ilvl="1" w:tplc="70C8424C">
      <w:start w:val="3"/>
      <w:numFmt w:val="bullet"/>
      <w:lvlText w:val="-"/>
      <w:lvlJc w:val="left"/>
      <w:pPr>
        <w:ind w:left="1440" w:hanging="360"/>
      </w:pPr>
      <w:rPr>
        <w:rFonts w:ascii="Arial Narrow" w:eastAsiaTheme="minorHAnsi" w:hAnsi="Arial Narrow" w:cstheme="minorBidi"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0" w15:restartNumberingAfterBreak="0">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2" w15:restartNumberingAfterBreak="0">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3"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52232B"/>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6" w15:restartNumberingAfterBreak="0">
    <w:nsid w:val="3A841364"/>
    <w:multiLevelType w:val="hybridMultilevel"/>
    <w:tmpl w:val="21CCF614"/>
    <w:lvl w:ilvl="0" w:tplc="08090017">
      <w:start w:val="1"/>
      <w:numFmt w:val="lowerLetter"/>
      <w:pStyle w:val="Listaconvietas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8" w15:restartNumberingAfterBreak="0">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20" w15:restartNumberingAfterBreak="0">
    <w:nsid w:val="43A0240A"/>
    <w:multiLevelType w:val="hybridMultilevel"/>
    <w:tmpl w:val="8C74C834"/>
    <w:lvl w:ilvl="0" w:tplc="0C0A0009">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3E73AA8"/>
    <w:multiLevelType w:val="hybridMultilevel"/>
    <w:tmpl w:val="02C825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23"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4" w15:restartNumberingAfterBreak="0">
    <w:nsid w:val="4A8501C1"/>
    <w:multiLevelType w:val="hybridMultilevel"/>
    <w:tmpl w:val="5B926852"/>
    <w:lvl w:ilvl="0" w:tplc="CECA9C4C">
      <w:start w:val="1"/>
      <w:numFmt w:val="decimal"/>
      <w:pStyle w:val="CPQuestions"/>
      <w:lvlText w:val="Q%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6" w15:restartNumberingAfterBreak="0">
    <w:nsid w:val="4C7151D2"/>
    <w:multiLevelType w:val="hybridMultilevel"/>
    <w:tmpl w:val="DE90C632"/>
    <w:lvl w:ilvl="0" w:tplc="08090001">
      <w:start w:val="1"/>
      <w:numFmt w:val="bullet"/>
      <w:pStyle w:val="Listaconvietas"/>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9" w15:restartNumberingAfterBreak="0">
    <w:nsid w:val="55DE60E9"/>
    <w:multiLevelType w:val="hybridMultilevel"/>
    <w:tmpl w:val="1084069A"/>
    <w:lvl w:ilvl="0" w:tplc="B532C018">
      <w:start w:val="2"/>
      <w:numFmt w:val="upperRoman"/>
      <w:pStyle w:val="Ttulo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31" w15:restartNumberingAfterBreak="0">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15:restartNumberingAfterBreak="0">
    <w:nsid w:val="5E2B55AD"/>
    <w:multiLevelType w:val="hybridMultilevel"/>
    <w:tmpl w:val="18E43E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4"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5" w15:restartNumberingAfterBreak="0">
    <w:nsid w:val="605735B9"/>
    <w:multiLevelType w:val="hybridMultilevel"/>
    <w:tmpl w:val="AD1C76E8"/>
    <w:lvl w:ilvl="0" w:tplc="6658B948">
      <w:start w:val="1"/>
      <w:numFmt w:val="decimal"/>
      <w:pStyle w:val="Ttulo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970F71"/>
    <w:multiLevelType w:val="singleLevel"/>
    <w:tmpl w:val="A8CADBFA"/>
    <w:name w:val="Bullet 0"/>
    <w:lvl w:ilvl="0">
      <w:start w:val="1"/>
      <w:numFmt w:val="bullet"/>
      <w:pStyle w:val="Listaconnmeros"/>
      <w:lvlText w:val="–"/>
      <w:lvlJc w:val="left"/>
      <w:pPr>
        <w:tabs>
          <w:tab w:val="num" w:pos="1417"/>
        </w:tabs>
        <w:ind w:left="1417" w:hanging="567"/>
      </w:pPr>
    </w:lvl>
  </w:abstractNum>
  <w:abstractNum w:abstractNumId="37" w15:restartNumberingAfterBreak="0">
    <w:nsid w:val="641C45AD"/>
    <w:multiLevelType w:val="hybridMultilevel"/>
    <w:tmpl w:val="8904ED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6604DDF"/>
    <w:multiLevelType w:val="hybridMultilevel"/>
    <w:tmpl w:val="E8E6436A"/>
    <w:lvl w:ilvl="0" w:tplc="0C0A0001">
      <w:start w:val="1"/>
      <w:numFmt w:val="bullet"/>
      <w:lvlText w:val=""/>
      <w:lvlJc w:val="left"/>
      <w:pPr>
        <w:ind w:left="720" w:hanging="360"/>
      </w:pPr>
      <w:rPr>
        <w:rFonts w:ascii="Symbol" w:hAnsi="Symbol" w:hint="default"/>
      </w:rPr>
    </w:lvl>
    <w:lvl w:ilvl="1" w:tplc="BE5E9FBA">
      <w:numFmt w:val="bullet"/>
      <w:lvlText w:val="•"/>
      <w:lvlJc w:val="left"/>
      <w:pPr>
        <w:ind w:left="1785" w:hanging="705"/>
      </w:pPr>
      <w:rPr>
        <w:rFonts w:ascii="Arial Narrow" w:eastAsia="Calibri" w:hAnsi="Arial Narrow"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0" w15:restartNumberingAfterBreak="0">
    <w:nsid w:val="6C304731"/>
    <w:multiLevelType w:val="hybridMultilevel"/>
    <w:tmpl w:val="E0C0A1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42" w15:restartNumberingAfterBreak="0">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1A6077"/>
    <w:multiLevelType w:val="hybridMultilevel"/>
    <w:tmpl w:val="E9FE7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5" w15:restartNumberingAfterBreak="0">
    <w:nsid w:val="724518C3"/>
    <w:multiLevelType w:val="hybridMultilevel"/>
    <w:tmpl w:val="58FEA38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6" w15:restartNumberingAfterBreak="0">
    <w:nsid w:val="72933D54"/>
    <w:multiLevelType w:val="hybridMultilevel"/>
    <w:tmpl w:val="4EC68804"/>
    <w:lvl w:ilvl="0" w:tplc="6DFE111A">
      <w:start w:val="1"/>
      <w:numFmt w:val="lowerLetter"/>
      <w:lvlText w:val="%1)"/>
      <w:lvlJc w:val="left"/>
      <w:pPr>
        <w:ind w:left="360" w:hanging="360"/>
      </w:pPr>
      <w:rPr>
        <w:b/>
        <w:bCs/>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7" w15:restartNumberingAfterBreak="0">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48"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num w:numId="1" w16cid:durableId="1973634410">
    <w:abstractNumId w:val="18"/>
  </w:num>
  <w:num w:numId="2" w16cid:durableId="1687049534">
    <w:abstractNumId w:val="22"/>
  </w:num>
  <w:num w:numId="3" w16cid:durableId="1817991125">
    <w:abstractNumId w:val="13"/>
  </w:num>
  <w:num w:numId="4" w16cid:durableId="1969044338">
    <w:abstractNumId w:val="27"/>
  </w:num>
  <w:num w:numId="5" w16cid:durableId="2002736417">
    <w:abstractNumId w:val="29"/>
  </w:num>
  <w:num w:numId="6" w16cid:durableId="229199605">
    <w:abstractNumId w:val="0"/>
  </w:num>
  <w:num w:numId="7" w16cid:durableId="390688809">
    <w:abstractNumId w:val="3"/>
  </w:num>
  <w:num w:numId="8" w16cid:durableId="8341077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47800996">
    <w:abstractNumId w:val="36"/>
  </w:num>
  <w:num w:numId="10" w16cid:durableId="188128749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853040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50695861">
    <w:abstractNumId w:val="31"/>
  </w:num>
  <w:num w:numId="13" w16cid:durableId="355274599">
    <w:abstractNumId w:val="35"/>
  </w:num>
  <w:num w:numId="14" w16cid:durableId="10958182">
    <w:abstractNumId w:val="26"/>
  </w:num>
  <w:num w:numId="15" w16cid:durableId="1196428104">
    <w:abstractNumId w:val="12"/>
  </w:num>
  <w:num w:numId="16" w16cid:durableId="1216888693">
    <w:abstractNumId w:val="1"/>
  </w:num>
  <w:num w:numId="17" w16cid:durableId="891115283">
    <w:abstractNumId w:val="16"/>
  </w:num>
  <w:num w:numId="18" w16cid:durableId="1840995751">
    <w:abstractNumId w:val="17"/>
  </w:num>
  <w:num w:numId="19" w16cid:durableId="527909759">
    <w:abstractNumId w:val="19"/>
  </w:num>
  <w:num w:numId="20" w16cid:durableId="216744352">
    <w:abstractNumId w:val="30"/>
  </w:num>
  <w:num w:numId="21" w16cid:durableId="480660399">
    <w:abstractNumId w:val="44"/>
  </w:num>
  <w:num w:numId="22" w16cid:durableId="1278222811">
    <w:abstractNumId w:val="28"/>
  </w:num>
  <w:num w:numId="23" w16cid:durableId="2015525656">
    <w:abstractNumId w:val="11"/>
  </w:num>
  <w:num w:numId="24" w16cid:durableId="1287128640">
    <w:abstractNumId w:val="34"/>
  </w:num>
  <w:num w:numId="25" w16cid:durableId="483089517">
    <w:abstractNumId w:val="33"/>
  </w:num>
  <w:num w:numId="26" w16cid:durableId="913973663">
    <w:abstractNumId w:val="23"/>
  </w:num>
  <w:num w:numId="27" w16cid:durableId="1875803988">
    <w:abstractNumId w:val="39"/>
  </w:num>
  <w:num w:numId="28" w16cid:durableId="67464257">
    <w:abstractNumId w:val="48"/>
  </w:num>
  <w:num w:numId="29" w16cid:durableId="2073498462">
    <w:abstractNumId w:val="9"/>
  </w:num>
  <w:num w:numId="30" w16cid:durableId="1006398860">
    <w:abstractNumId w:val="2"/>
  </w:num>
  <w:num w:numId="31" w16cid:durableId="1830050167">
    <w:abstractNumId w:val="25"/>
  </w:num>
  <w:num w:numId="32" w16cid:durableId="1952860140">
    <w:abstractNumId w:val="24"/>
  </w:num>
  <w:num w:numId="33" w16cid:durableId="817652734">
    <w:abstractNumId w:val="42"/>
  </w:num>
  <w:num w:numId="34" w16cid:durableId="719944326">
    <w:abstractNumId w:val="41"/>
  </w:num>
  <w:num w:numId="35" w16cid:durableId="26688946">
    <w:abstractNumId w:val="4"/>
  </w:num>
  <w:num w:numId="36" w16cid:durableId="2121794871">
    <w:abstractNumId w:val="43"/>
  </w:num>
  <w:num w:numId="37" w16cid:durableId="2014606078">
    <w:abstractNumId w:val="14"/>
  </w:num>
  <w:num w:numId="38" w16cid:durableId="2067027848">
    <w:abstractNumId w:val="5"/>
  </w:num>
  <w:num w:numId="39" w16cid:durableId="26834527">
    <w:abstractNumId w:val="8"/>
  </w:num>
  <w:num w:numId="40" w16cid:durableId="1599753792">
    <w:abstractNumId w:val="38"/>
  </w:num>
  <w:num w:numId="41" w16cid:durableId="7951373">
    <w:abstractNumId w:val="21"/>
  </w:num>
  <w:num w:numId="42" w16cid:durableId="1339696132">
    <w:abstractNumId w:val="46"/>
  </w:num>
  <w:num w:numId="43" w16cid:durableId="1457259781">
    <w:abstractNumId w:val="32"/>
  </w:num>
  <w:num w:numId="44" w16cid:durableId="969824278">
    <w:abstractNumId w:val="45"/>
  </w:num>
  <w:num w:numId="45" w16cid:durableId="272708909">
    <w:abstractNumId w:val="7"/>
  </w:num>
  <w:num w:numId="46" w16cid:durableId="157159358">
    <w:abstractNumId w:val="37"/>
  </w:num>
  <w:num w:numId="47" w16cid:durableId="730471183">
    <w:abstractNumId w:val="40"/>
  </w:num>
  <w:num w:numId="48" w16cid:durableId="1448502787">
    <w:abstractNumId w:val="2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ql+FyrJRIpIZ+6Lmlf37vcyrEwxculZlAqor49Mb3vWDHtuyruwrq9FlOtk8ij2nk4hStJ5t1je+F2j/k7sqAw==" w:salt="XtxIJ4JTstjo6DkS7RFc8g=="/>
  <w:defaultTabStop w:val="709"/>
  <w:autoHyphenation/>
  <w:hyphenationZone w:val="567"/>
  <w:characterSpacingControl w:val="doNotCompress"/>
  <w:hdrShapeDefaults>
    <o:shapedefaults v:ext="edit" spidmax="2050">
      <o:colormru v:ext="edit" colors="#2d4491,#28358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370"/>
    <w:rsid w:val="000006AD"/>
    <w:rsid w:val="00001490"/>
    <w:rsid w:val="00002232"/>
    <w:rsid w:val="00002491"/>
    <w:rsid w:val="0000378E"/>
    <w:rsid w:val="00003AEB"/>
    <w:rsid w:val="00005BBA"/>
    <w:rsid w:val="00005D8C"/>
    <w:rsid w:val="00006C2B"/>
    <w:rsid w:val="00007014"/>
    <w:rsid w:val="00007968"/>
    <w:rsid w:val="0001067A"/>
    <w:rsid w:val="00013CCE"/>
    <w:rsid w:val="000140D5"/>
    <w:rsid w:val="0001410B"/>
    <w:rsid w:val="000141D6"/>
    <w:rsid w:val="00014A95"/>
    <w:rsid w:val="00015B5E"/>
    <w:rsid w:val="00015F1D"/>
    <w:rsid w:val="0001774B"/>
    <w:rsid w:val="00020D0F"/>
    <w:rsid w:val="000215EB"/>
    <w:rsid w:val="00021E83"/>
    <w:rsid w:val="00023713"/>
    <w:rsid w:val="00023C4D"/>
    <w:rsid w:val="00025E71"/>
    <w:rsid w:val="00026226"/>
    <w:rsid w:val="00026269"/>
    <w:rsid w:val="00027154"/>
    <w:rsid w:val="00027ECF"/>
    <w:rsid w:val="00027EEB"/>
    <w:rsid w:val="000303BE"/>
    <w:rsid w:val="000344D6"/>
    <w:rsid w:val="00034960"/>
    <w:rsid w:val="00036FAE"/>
    <w:rsid w:val="00041858"/>
    <w:rsid w:val="0004389E"/>
    <w:rsid w:val="00045CA6"/>
    <w:rsid w:val="000463A6"/>
    <w:rsid w:val="00046CC9"/>
    <w:rsid w:val="00046E91"/>
    <w:rsid w:val="00047350"/>
    <w:rsid w:val="000502FE"/>
    <w:rsid w:val="0005126D"/>
    <w:rsid w:val="00051992"/>
    <w:rsid w:val="00051E9A"/>
    <w:rsid w:val="000521A7"/>
    <w:rsid w:val="00052F47"/>
    <w:rsid w:val="000537BB"/>
    <w:rsid w:val="0005399B"/>
    <w:rsid w:val="00054DE6"/>
    <w:rsid w:val="000569D7"/>
    <w:rsid w:val="00057085"/>
    <w:rsid w:val="000576D7"/>
    <w:rsid w:val="00060F72"/>
    <w:rsid w:val="00062592"/>
    <w:rsid w:val="000636A1"/>
    <w:rsid w:val="000649D9"/>
    <w:rsid w:val="000652BE"/>
    <w:rsid w:val="000652D7"/>
    <w:rsid w:val="00066479"/>
    <w:rsid w:val="0006723C"/>
    <w:rsid w:val="00070376"/>
    <w:rsid w:val="00070630"/>
    <w:rsid w:val="00070974"/>
    <w:rsid w:val="00071EAD"/>
    <w:rsid w:val="00071F4E"/>
    <w:rsid w:val="00072271"/>
    <w:rsid w:val="00072B54"/>
    <w:rsid w:val="0007463D"/>
    <w:rsid w:val="00074979"/>
    <w:rsid w:val="000749F0"/>
    <w:rsid w:val="0007609D"/>
    <w:rsid w:val="00077C67"/>
    <w:rsid w:val="00080976"/>
    <w:rsid w:val="00081CEB"/>
    <w:rsid w:val="00081E60"/>
    <w:rsid w:val="00082D8E"/>
    <w:rsid w:val="00082E31"/>
    <w:rsid w:val="00083AA3"/>
    <w:rsid w:val="00085947"/>
    <w:rsid w:val="000868FE"/>
    <w:rsid w:val="000878D1"/>
    <w:rsid w:val="000921AE"/>
    <w:rsid w:val="000921D7"/>
    <w:rsid w:val="000925FF"/>
    <w:rsid w:val="000932E0"/>
    <w:rsid w:val="00094853"/>
    <w:rsid w:val="00094C4C"/>
    <w:rsid w:val="00096762"/>
    <w:rsid w:val="000969C8"/>
    <w:rsid w:val="0009752D"/>
    <w:rsid w:val="00097AEE"/>
    <w:rsid w:val="000A014A"/>
    <w:rsid w:val="000A0396"/>
    <w:rsid w:val="000A04B6"/>
    <w:rsid w:val="000A0E36"/>
    <w:rsid w:val="000A1BD2"/>
    <w:rsid w:val="000A2127"/>
    <w:rsid w:val="000A358F"/>
    <w:rsid w:val="000A395E"/>
    <w:rsid w:val="000A3C4A"/>
    <w:rsid w:val="000A43CC"/>
    <w:rsid w:val="000A609F"/>
    <w:rsid w:val="000A7314"/>
    <w:rsid w:val="000A7B53"/>
    <w:rsid w:val="000A7B64"/>
    <w:rsid w:val="000B275C"/>
    <w:rsid w:val="000B2C3D"/>
    <w:rsid w:val="000B55C0"/>
    <w:rsid w:val="000B5DF2"/>
    <w:rsid w:val="000C06C9"/>
    <w:rsid w:val="000C1DCC"/>
    <w:rsid w:val="000C1FBC"/>
    <w:rsid w:val="000C2054"/>
    <w:rsid w:val="000C2B6A"/>
    <w:rsid w:val="000C2F88"/>
    <w:rsid w:val="000C55C8"/>
    <w:rsid w:val="000C57C4"/>
    <w:rsid w:val="000C5FD3"/>
    <w:rsid w:val="000C701D"/>
    <w:rsid w:val="000C7C4A"/>
    <w:rsid w:val="000D17AA"/>
    <w:rsid w:val="000D2D0B"/>
    <w:rsid w:val="000D4660"/>
    <w:rsid w:val="000D705D"/>
    <w:rsid w:val="000D71F1"/>
    <w:rsid w:val="000D7EB9"/>
    <w:rsid w:val="000E0223"/>
    <w:rsid w:val="000E0CF3"/>
    <w:rsid w:val="000E18A8"/>
    <w:rsid w:val="000E1AEC"/>
    <w:rsid w:val="000E3937"/>
    <w:rsid w:val="000E4926"/>
    <w:rsid w:val="000E49B7"/>
    <w:rsid w:val="000E5F7F"/>
    <w:rsid w:val="000E64F5"/>
    <w:rsid w:val="000E7086"/>
    <w:rsid w:val="000E78C1"/>
    <w:rsid w:val="000E7C65"/>
    <w:rsid w:val="000F04D2"/>
    <w:rsid w:val="000F0C19"/>
    <w:rsid w:val="000F55B7"/>
    <w:rsid w:val="000F604F"/>
    <w:rsid w:val="000F7399"/>
    <w:rsid w:val="00101BF1"/>
    <w:rsid w:val="001027F1"/>
    <w:rsid w:val="00104F2E"/>
    <w:rsid w:val="001072DD"/>
    <w:rsid w:val="00110D7A"/>
    <w:rsid w:val="00111464"/>
    <w:rsid w:val="0011167D"/>
    <w:rsid w:val="00112892"/>
    <w:rsid w:val="001129F9"/>
    <w:rsid w:val="00112E48"/>
    <w:rsid w:val="001130EA"/>
    <w:rsid w:val="001138E8"/>
    <w:rsid w:val="00114259"/>
    <w:rsid w:val="001168B2"/>
    <w:rsid w:val="00117C20"/>
    <w:rsid w:val="00120F0E"/>
    <w:rsid w:val="00121A5D"/>
    <w:rsid w:val="00121BED"/>
    <w:rsid w:val="00123D39"/>
    <w:rsid w:val="001244CD"/>
    <w:rsid w:val="0012566F"/>
    <w:rsid w:val="001262B1"/>
    <w:rsid w:val="00130F41"/>
    <w:rsid w:val="00130FAF"/>
    <w:rsid w:val="00135F2B"/>
    <w:rsid w:val="001372DD"/>
    <w:rsid w:val="001405BA"/>
    <w:rsid w:val="00141497"/>
    <w:rsid w:val="0014253A"/>
    <w:rsid w:val="001425C8"/>
    <w:rsid w:val="001431AE"/>
    <w:rsid w:val="00143B87"/>
    <w:rsid w:val="001459E3"/>
    <w:rsid w:val="00146A0B"/>
    <w:rsid w:val="0014761E"/>
    <w:rsid w:val="00151907"/>
    <w:rsid w:val="001544C8"/>
    <w:rsid w:val="00155FAB"/>
    <w:rsid w:val="001567A1"/>
    <w:rsid w:val="00156857"/>
    <w:rsid w:val="00157E79"/>
    <w:rsid w:val="00157EED"/>
    <w:rsid w:val="0016087A"/>
    <w:rsid w:val="00160A5C"/>
    <w:rsid w:val="001613EC"/>
    <w:rsid w:val="0016358A"/>
    <w:rsid w:val="001638D4"/>
    <w:rsid w:val="00164664"/>
    <w:rsid w:val="00164F15"/>
    <w:rsid w:val="001651A4"/>
    <w:rsid w:val="0016552B"/>
    <w:rsid w:val="00166B04"/>
    <w:rsid w:val="001670A6"/>
    <w:rsid w:val="001701FA"/>
    <w:rsid w:val="00171183"/>
    <w:rsid w:val="001725A5"/>
    <w:rsid w:val="00172681"/>
    <w:rsid w:val="00173AC7"/>
    <w:rsid w:val="001745D7"/>
    <w:rsid w:val="00175754"/>
    <w:rsid w:val="00176982"/>
    <w:rsid w:val="0017701C"/>
    <w:rsid w:val="00181223"/>
    <w:rsid w:val="00181264"/>
    <w:rsid w:val="00181BD1"/>
    <w:rsid w:val="0018204A"/>
    <w:rsid w:val="00182F7C"/>
    <w:rsid w:val="001843B5"/>
    <w:rsid w:val="00186829"/>
    <w:rsid w:val="001868CA"/>
    <w:rsid w:val="00187304"/>
    <w:rsid w:val="001875BE"/>
    <w:rsid w:val="0019017A"/>
    <w:rsid w:val="00190B8C"/>
    <w:rsid w:val="00190FF8"/>
    <w:rsid w:val="0019311A"/>
    <w:rsid w:val="0019508A"/>
    <w:rsid w:val="001960D8"/>
    <w:rsid w:val="00196B89"/>
    <w:rsid w:val="001A1642"/>
    <w:rsid w:val="001A371B"/>
    <w:rsid w:val="001A4766"/>
    <w:rsid w:val="001A6A0D"/>
    <w:rsid w:val="001A6C51"/>
    <w:rsid w:val="001A6FAA"/>
    <w:rsid w:val="001A7D73"/>
    <w:rsid w:val="001B0363"/>
    <w:rsid w:val="001B1355"/>
    <w:rsid w:val="001B2FC9"/>
    <w:rsid w:val="001B3138"/>
    <w:rsid w:val="001B4E4B"/>
    <w:rsid w:val="001B50AC"/>
    <w:rsid w:val="001B5E05"/>
    <w:rsid w:val="001B6D68"/>
    <w:rsid w:val="001B6F2E"/>
    <w:rsid w:val="001B73D3"/>
    <w:rsid w:val="001C0344"/>
    <w:rsid w:val="001C0F2A"/>
    <w:rsid w:val="001C188E"/>
    <w:rsid w:val="001C1A59"/>
    <w:rsid w:val="001C270F"/>
    <w:rsid w:val="001C4679"/>
    <w:rsid w:val="001C5770"/>
    <w:rsid w:val="001C6195"/>
    <w:rsid w:val="001D000A"/>
    <w:rsid w:val="001D0883"/>
    <w:rsid w:val="001D2205"/>
    <w:rsid w:val="001D3A1F"/>
    <w:rsid w:val="001D3CC1"/>
    <w:rsid w:val="001D3FB6"/>
    <w:rsid w:val="001D4550"/>
    <w:rsid w:val="001D5498"/>
    <w:rsid w:val="001D5BAF"/>
    <w:rsid w:val="001D6401"/>
    <w:rsid w:val="001D66C9"/>
    <w:rsid w:val="001D722A"/>
    <w:rsid w:val="001E04FC"/>
    <w:rsid w:val="001E407D"/>
    <w:rsid w:val="001E40FB"/>
    <w:rsid w:val="001E66EC"/>
    <w:rsid w:val="001E68C5"/>
    <w:rsid w:val="001F0F63"/>
    <w:rsid w:val="001F3996"/>
    <w:rsid w:val="001F44A4"/>
    <w:rsid w:val="001F579D"/>
    <w:rsid w:val="001F65EF"/>
    <w:rsid w:val="001F697B"/>
    <w:rsid w:val="002005A6"/>
    <w:rsid w:val="00200609"/>
    <w:rsid w:val="00204CBC"/>
    <w:rsid w:val="002051F1"/>
    <w:rsid w:val="002067BA"/>
    <w:rsid w:val="002073F1"/>
    <w:rsid w:val="0021058D"/>
    <w:rsid w:val="00211E2F"/>
    <w:rsid w:val="00211E9E"/>
    <w:rsid w:val="00214FB4"/>
    <w:rsid w:val="00215940"/>
    <w:rsid w:val="00217C23"/>
    <w:rsid w:val="00220561"/>
    <w:rsid w:val="00220CE4"/>
    <w:rsid w:val="00222D9B"/>
    <w:rsid w:val="00223788"/>
    <w:rsid w:val="00223D11"/>
    <w:rsid w:val="002242D3"/>
    <w:rsid w:val="00227C1A"/>
    <w:rsid w:val="002301E6"/>
    <w:rsid w:val="00232F90"/>
    <w:rsid w:val="00233B08"/>
    <w:rsid w:val="00233C3B"/>
    <w:rsid w:val="0023499C"/>
    <w:rsid w:val="00235CE3"/>
    <w:rsid w:val="0023636A"/>
    <w:rsid w:val="00236F34"/>
    <w:rsid w:val="002372F7"/>
    <w:rsid w:val="002401A7"/>
    <w:rsid w:val="00240651"/>
    <w:rsid w:val="00240803"/>
    <w:rsid w:val="0024426D"/>
    <w:rsid w:val="00244F1D"/>
    <w:rsid w:val="00245004"/>
    <w:rsid w:val="00245FB4"/>
    <w:rsid w:val="0025017D"/>
    <w:rsid w:val="00250898"/>
    <w:rsid w:val="00250E70"/>
    <w:rsid w:val="00251EA9"/>
    <w:rsid w:val="00252843"/>
    <w:rsid w:val="002543F8"/>
    <w:rsid w:val="002551A4"/>
    <w:rsid w:val="002559F3"/>
    <w:rsid w:val="00256DFE"/>
    <w:rsid w:val="00261D56"/>
    <w:rsid w:val="00261FD3"/>
    <w:rsid w:val="00263505"/>
    <w:rsid w:val="00264077"/>
    <w:rsid w:val="00266B9A"/>
    <w:rsid w:val="00267551"/>
    <w:rsid w:val="00270E54"/>
    <w:rsid w:val="00273633"/>
    <w:rsid w:val="00273681"/>
    <w:rsid w:val="002754B5"/>
    <w:rsid w:val="002764C5"/>
    <w:rsid w:val="00276A5A"/>
    <w:rsid w:val="002772AE"/>
    <w:rsid w:val="00277943"/>
    <w:rsid w:val="00280613"/>
    <w:rsid w:val="002819C4"/>
    <w:rsid w:val="0028274D"/>
    <w:rsid w:val="00282B96"/>
    <w:rsid w:val="002833D6"/>
    <w:rsid w:val="00283F51"/>
    <w:rsid w:val="00286064"/>
    <w:rsid w:val="002867B1"/>
    <w:rsid w:val="002868FC"/>
    <w:rsid w:val="00287BBB"/>
    <w:rsid w:val="00287E3B"/>
    <w:rsid w:val="00290638"/>
    <w:rsid w:val="00291763"/>
    <w:rsid w:val="00291D80"/>
    <w:rsid w:val="00292E82"/>
    <w:rsid w:val="00293156"/>
    <w:rsid w:val="00293BE7"/>
    <w:rsid w:val="00293D78"/>
    <w:rsid w:val="002946DC"/>
    <w:rsid w:val="002A0C82"/>
    <w:rsid w:val="002A0CD8"/>
    <w:rsid w:val="002A13EB"/>
    <w:rsid w:val="002A35EF"/>
    <w:rsid w:val="002A3DE0"/>
    <w:rsid w:val="002A40EA"/>
    <w:rsid w:val="002A46E8"/>
    <w:rsid w:val="002A491C"/>
    <w:rsid w:val="002A4C8E"/>
    <w:rsid w:val="002B1FEF"/>
    <w:rsid w:val="002B2DF8"/>
    <w:rsid w:val="002B354F"/>
    <w:rsid w:val="002B3614"/>
    <w:rsid w:val="002B45D1"/>
    <w:rsid w:val="002B4ED8"/>
    <w:rsid w:val="002B4FAA"/>
    <w:rsid w:val="002B52C2"/>
    <w:rsid w:val="002B7656"/>
    <w:rsid w:val="002C0642"/>
    <w:rsid w:val="002C1492"/>
    <w:rsid w:val="002C1E8B"/>
    <w:rsid w:val="002C2EFE"/>
    <w:rsid w:val="002C53AA"/>
    <w:rsid w:val="002C5B2D"/>
    <w:rsid w:val="002C6AF9"/>
    <w:rsid w:val="002C7DFC"/>
    <w:rsid w:val="002D08B8"/>
    <w:rsid w:val="002D14F3"/>
    <w:rsid w:val="002D16E4"/>
    <w:rsid w:val="002D2FEF"/>
    <w:rsid w:val="002D36C2"/>
    <w:rsid w:val="002D3FCB"/>
    <w:rsid w:val="002D4FEF"/>
    <w:rsid w:val="002D502D"/>
    <w:rsid w:val="002D63F5"/>
    <w:rsid w:val="002D6E1A"/>
    <w:rsid w:val="002E036D"/>
    <w:rsid w:val="002E1517"/>
    <w:rsid w:val="002E1760"/>
    <w:rsid w:val="002E1B22"/>
    <w:rsid w:val="002E387F"/>
    <w:rsid w:val="002E76FC"/>
    <w:rsid w:val="002E7F4B"/>
    <w:rsid w:val="002F0C91"/>
    <w:rsid w:val="002F0E3E"/>
    <w:rsid w:val="002F1683"/>
    <w:rsid w:val="002F1B19"/>
    <w:rsid w:val="002F1FBF"/>
    <w:rsid w:val="002F4139"/>
    <w:rsid w:val="00300624"/>
    <w:rsid w:val="00300F56"/>
    <w:rsid w:val="00301006"/>
    <w:rsid w:val="00301C2B"/>
    <w:rsid w:val="00304A71"/>
    <w:rsid w:val="003066C8"/>
    <w:rsid w:val="0030739D"/>
    <w:rsid w:val="00307AFB"/>
    <w:rsid w:val="00311184"/>
    <w:rsid w:val="00311E05"/>
    <w:rsid w:val="00312675"/>
    <w:rsid w:val="00314013"/>
    <w:rsid w:val="00314945"/>
    <w:rsid w:val="00315389"/>
    <w:rsid w:val="00315746"/>
    <w:rsid w:val="00315E96"/>
    <w:rsid w:val="00317FC8"/>
    <w:rsid w:val="003211D9"/>
    <w:rsid w:val="003223D7"/>
    <w:rsid w:val="00323D9F"/>
    <w:rsid w:val="00324FDB"/>
    <w:rsid w:val="00325F48"/>
    <w:rsid w:val="0033194F"/>
    <w:rsid w:val="00332304"/>
    <w:rsid w:val="00332406"/>
    <w:rsid w:val="00332D8D"/>
    <w:rsid w:val="00336B56"/>
    <w:rsid w:val="00341B25"/>
    <w:rsid w:val="00341EC0"/>
    <w:rsid w:val="0034240C"/>
    <w:rsid w:val="00343083"/>
    <w:rsid w:val="00344496"/>
    <w:rsid w:val="00344626"/>
    <w:rsid w:val="00345968"/>
    <w:rsid w:val="00347667"/>
    <w:rsid w:val="00350485"/>
    <w:rsid w:val="003507E2"/>
    <w:rsid w:val="003522B2"/>
    <w:rsid w:val="0035455E"/>
    <w:rsid w:val="00354A6F"/>
    <w:rsid w:val="00354B48"/>
    <w:rsid w:val="00355789"/>
    <w:rsid w:val="003609B6"/>
    <w:rsid w:val="00361119"/>
    <w:rsid w:val="0036538D"/>
    <w:rsid w:val="00365D12"/>
    <w:rsid w:val="00366E20"/>
    <w:rsid w:val="0037018D"/>
    <w:rsid w:val="00372299"/>
    <w:rsid w:val="00372F02"/>
    <w:rsid w:val="00373729"/>
    <w:rsid w:val="00373C91"/>
    <w:rsid w:val="00374717"/>
    <w:rsid w:val="003748F0"/>
    <w:rsid w:val="003755C6"/>
    <w:rsid w:val="00375AEF"/>
    <w:rsid w:val="00376367"/>
    <w:rsid w:val="00376B02"/>
    <w:rsid w:val="0037733A"/>
    <w:rsid w:val="003776DC"/>
    <w:rsid w:val="003779C1"/>
    <w:rsid w:val="00380FEC"/>
    <w:rsid w:val="00381226"/>
    <w:rsid w:val="00381B1B"/>
    <w:rsid w:val="00381FF6"/>
    <w:rsid w:val="00383D7D"/>
    <w:rsid w:val="00384CCE"/>
    <w:rsid w:val="003865E5"/>
    <w:rsid w:val="003926C1"/>
    <w:rsid w:val="00392900"/>
    <w:rsid w:val="00393357"/>
    <w:rsid w:val="00395E7B"/>
    <w:rsid w:val="00395F4C"/>
    <w:rsid w:val="003A51C5"/>
    <w:rsid w:val="003A5DAC"/>
    <w:rsid w:val="003A6591"/>
    <w:rsid w:val="003A6E9A"/>
    <w:rsid w:val="003B08C8"/>
    <w:rsid w:val="003B2567"/>
    <w:rsid w:val="003B381A"/>
    <w:rsid w:val="003B4976"/>
    <w:rsid w:val="003B4B3F"/>
    <w:rsid w:val="003B6258"/>
    <w:rsid w:val="003B7A99"/>
    <w:rsid w:val="003C0343"/>
    <w:rsid w:val="003C1C32"/>
    <w:rsid w:val="003C2760"/>
    <w:rsid w:val="003C3B14"/>
    <w:rsid w:val="003C40DA"/>
    <w:rsid w:val="003C42BA"/>
    <w:rsid w:val="003C462F"/>
    <w:rsid w:val="003C4A02"/>
    <w:rsid w:val="003C4F05"/>
    <w:rsid w:val="003C6191"/>
    <w:rsid w:val="003C6E49"/>
    <w:rsid w:val="003D0CBF"/>
    <w:rsid w:val="003D0DD6"/>
    <w:rsid w:val="003D4B73"/>
    <w:rsid w:val="003D503B"/>
    <w:rsid w:val="003D605E"/>
    <w:rsid w:val="003D61D1"/>
    <w:rsid w:val="003D6780"/>
    <w:rsid w:val="003D6FCB"/>
    <w:rsid w:val="003E0F84"/>
    <w:rsid w:val="003E1FF3"/>
    <w:rsid w:val="003E3ACA"/>
    <w:rsid w:val="003E50EA"/>
    <w:rsid w:val="003E68C7"/>
    <w:rsid w:val="003E79B0"/>
    <w:rsid w:val="003F0403"/>
    <w:rsid w:val="003F1094"/>
    <w:rsid w:val="003F2E45"/>
    <w:rsid w:val="003F3EFE"/>
    <w:rsid w:val="003F40B8"/>
    <w:rsid w:val="003F5C06"/>
    <w:rsid w:val="00400195"/>
    <w:rsid w:val="0040254B"/>
    <w:rsid w:val="00403086"/>
    <w:rsid w:val="00403460"/>
    <w:rsid w:val="004040FF"/>
    <w:rsid w:val="00404284"/>
    <w:rsid w:val="004042C4"/>
    <w:rsid w:val="004045B8"/>
    <w:rsid w:val="00406E90"/>
    <w:rsid w:val="00410240"/>
    <w:rsid w:val="00410760"/>
    <w:rsid w:val="00412253"/>
    <w:rsid w:val="004142ED"/>
    <w:rsid w:val="0041634D"/>
    <w:rsid w:val="00416ABC"/>
    <w:rsid w:val="00417EF7"/>
    <w:rsid w:val="00422A7D"/>
    <w:rsid w:val="00422BFC"/>
    <w:rsid w:val="00424642"/>
    <w:rsid w:val="00425ABB"/>
    <w:rsid w:val="00425BB6"/>
    <w:rsid w:val="004261A0"/>
    <w:rsid w:val="004265AA"/>
    <w:rsid w:val="00426BC3"/>
    <w:rsid w:val="00426CE1"/>
    <w:rsid w:val="0042739E"/>
    <w:rsid w:val="00427D52"/>
    <w:rsid w:val="00430412"/>
    <w:rsid w:val="00430497"/>
    <w:rsid w:val="004307B8"/>
    <w:rsid w:val="0043173B"/>
    <w:rsid w:val="00431B0A"/>
    <w:rsid w:val="00431DA4"/>
    <w:rsid w:val="00432A91"/>
    <w:rsid w:val="004332A4"/>
    <w:rsid w:val="0043453F"/>
    <w:rsid w:val="00434A74"/>
    <w:rsid w:val="00437929"/>
    <w:rsid w:val="00437A4A"/>
    <w:rsid w:val="00440541"/>
    <w:rsid w:val="004406C8"/>
    <w:rsid w:val="0044162D"/>
    <w:rsid w:val="00441DDE"/>
    <w:rsid w:val="0044277A"/>
    <w:rsid w:val="004434EF"/>
    <w:rsid w:val="004456DC"/>
    <w:rsid w:val="00447FBE"/>
    <w:rsid w:val="0045035E"/>
    <w:rsid w:val="0045175A"/>
    <w:rsid w:val="00451ED9"/>
    <w:rsid w:val="00452180"/>
    <w:rsid w:val="00453072"/>
    <w:rsid w:val="004539F8"/>
    <w:rsid w:val="00453F26"/>
    <w:rsid w:val="0045503F"/>
    <w:rsid w:val="00455273"/>
    <w:rsid w:val="0045658C"/>
    <w:rsid w:val="00460905"/>
    <w:rsid w:val="00461E35"/>
    <w:rsid w:val="004621DB"/>
    <w:rsid w:val="004634A7"/>
    <w:rsid w:val="00463787"/>
    <w:rsid w:val="00466926"/>
    <w:rsid w:val="00466FDA"/>
    <w:rsid w:val="004671D0"/>
    <w:rsid w:val="004674D1"/>
    <w:rsid w:val="00470773"/>
    <w:rsid w:val="00471A69"/>
    <w:rsid w:val="00471FF9"/>
    <w:rsid w:val="00473E74"/>
    <w:rsid w:val="00473FEF"/>
    <w:rsid w:val="00475B8E"/>
    <w:rsid w:val="0048104E"/>
    <w:rsid w:val="004814BB"/>
    <w:rsid w:val="004815DA"/>
    <w:rsid w:val="00482458"/>
    <w:rsid w:val="004837ED"/>
    <w:rsid w:val="00483942"/>
    <w:rsid w:val="004843CE"/>
    <w:rsid w:val="00485142"/>
    <w:rsid w:val="004852A7"/>
    <w:rsid w:val="00486C17"/>
    <w:rsid w:val="00486DE2"/>
    <w:rsid w:val="00487117"/>
    <w:rsid w:val="00487A32"/>
    <w:rsid w:val="00487A91"/>
    <w:rsid w:val="004901E5"/>
    <w:rsid w:val="0049027D"/>
    <w:rsid w:val="004903D4"/>
    <w:rsid w:val="0049052B"/>
    <w:rsid w:val="00492457"/>
    <w:rsid w:val="004924A8"/>
    <w:rsid w:val="004934E9"/>
    <w:rsid w:val="00494737"/>
    <w:rsid w:val="00494D5C"/>
    <w:rsid w:val="00495A6A"/>
    <w:rsid w:val="004964F6"/>
    <w:rsid w:val="00496821"/>
    <w:rsid w:val="00497750"/>
    <w:rsid w:val="00497B44"/>
    <w:rsid w:val="004A00E5"/>
    <w:rsid w:val="004A01A7"/>
    <w:rsid w:val="004A0D09"/>
    <w:rsid w:val="004A116E"/>
    <w:rsid w:val="004A357F"/>
    <w:rsid w:val="004A3DAD"/>
    <w:rsid w:val="004B0335"/>
    <w:rsid w:val="004B0F1C"/>
    <w:rsid w:val="004B1E61"/>
    <w:rsid w:val="004B21AB"/>
    <w:rsid w:val="004B59E0"/>
    <w:rsid w:val="004B667B"/>
    <w:rsid w:val="004B71C7"/>
    <w:rsid w:val="004C03AA"/>
    <w:rsid w:val="004C0B9A"/>
    <w:rsid w:val="004C14E7"/>
    <w:rsid w:val="004C1D89"/>
    <w:rsid w:val="004C2A94"/>
    <w:rsid w:val="004C2CD0"/>
    <w:rsid w:val="004C3DAB"/>
    <w:rsid w:val="004C5766"/>
    <w:rsid w:val="004C5F54"/>
    <w:rsid w:val="004C6E76"/>
    <w:rsid w:val="004C77DD"/>
    <w:rsid w:val="004C7826"/>
    <w:rsid w:val="004C7B33"/>
    <w:rsid w:val="004D1410"/>
    <w:rsid w:val="004D1478"/>
    <w:rsid w:val="004D19EE"/>
    <w:rsid w:val="004D1CF2"/>
    <w:rsid w:val="004D2D3A"/>
    <w:rsid w:val="004D374D"/>
    <w:rsid w:val="004D3DEC"/>
    <w:rsid w:val="004D42C8"/>
    <w:rsid w:val="004D4F57"/>
    <w:rsid w:val="004D50F6"/>
    <w:rsid w:val="004D5A0D"/>
    <w:rsid w:val="004D7910"/>
    <w:rsid w:val="004D7DEA"/>
    <w:rsid w:val="004E0A28"/>
    <w:rsid w:val="004E1A0F"/>
    <w:rsid w:val="004E2E89"/>
    <w:rsid w:val="004E33C2"/>
    <w:rsid w:val="004E35F6"/>
    <w:rsid w:val="004E3B9A"/>
    <w:rsid w:val="004E49B0"/>
    <w:rsid w:val="004E5D98"/>
    <w:rsid w:val="004E62DE"/>
    <w:rsid w:val="004E6B05"/>
    <w:rsid w:val="004E7437"/>
    <w:rsid w:val="004E76A1"/>
    <w:rsid w:val="004F05DE"/>
    <w:rsid w:val="004F6376"/>
    <w:rsid w:val="004F6A93"/>
    <w:rsid w:val="004F6E70"/>
    <w:rsid w:val="004F6F14"/>
    <w:rsid w:val="004F728D"/>
    <w:rsid w:val="004F757D"/>
    <w:rsid w:val="004F76D9"/>
    <w:rsid w:val="004F79A6"/>
    <w:rsid w:val="00501BF5"/>
    <w:rsid w:val="00501D8B"/>
    <w:rsid w:val="00503A3E"/>
    <w:rsid w:val="00503F59"/>
    <w:rsid w:val="005049A7"/>
    <w:rsid w:val="005053B2"/>
    <w:rsid w:val="00506331"/>
    <w:rsid w:val="00507D11"/>
    <w:rsid w:val="00510662"/>
    <w:rsid w:val="005109B7"/>
    <w:rsid w:val="00510A19"/>
    <w:rsid w:val="00511AAB"/>
    <w:rsid w:val="00514D10"/>
    <w:rsid w:val="00516783"/>
    <w:rsid w:val="005171FB"/>
    <w:rsid w:val="00517EF8"/>
    <w:rsid w:val="00520083"/>
    <w:rsid w:val="0052029E"/>
    <w:rsid w:val="0052076A"/>
    <w:rsid w:val="00520A2C"/>
    <w:rsid w:val="00520E25"/>
    <w:rsid w:val="005211D0"/>
    <w:rsid w:val="0052183D"/>
    <w:rsid w:val="00522B01"/>
    <w:rsid w:val="00522F44"/>
    <w:rsid w:val="0052360A"/>
    <w:rsid w:val="005242BA"/>
    <w:rsid w:val="005243B8"/>
    <w:rsid w:val="005252DD"/>
    <w:rsid w:val="00530A8D"/>
    <w:rsid w:val="00531C6D"/>
    <w:rsid w:val="00532EF4"/>
    <w:rsid w:val="005347CE"/>
    <w:rsid w:val="00535477"/>
    <w:rsid w:val="00535DEA"/>
    <w:rsid w:val="0053723A"/>
    <w:rsid w:val="00537636"/>
    <w:rsid w:val="00537B1D"/>
    <w:rsid w:val="00540191"/>
    <w:rsid w:val="00540A2A"/>
    <w:rsid w:val="00541F27"/>
    <w:rsid w:val="00542297"/>
    <w:rsid w:val="005424BC"/>
    <w:rsid w:val="00542A28"/>
    <w:rsid w:val="005441D4"/>
    <w:rsid w:val="0054672D"/>
    <w:rsid w:val="00550F4E"/>
    <w:rsid w:val="00551E98"/>
    <w:rsid w:val="005532B5"/>
    <w:rsid w:val="00554A05"/>
    <w:rsid w:val="00555849"/>
    <w:rsid w:val="005559A8"/>
    <w:rsid w:val="00557048"/>
    <w:rsid w:val="00557FB5"/>
    <w:rsid w:val="00561AED"/>
    <w:rsid w:val="005648A8"/>
    <w:rsid w:val="00564DE3"/>
    <w:rsid w:val="00564E44"/>
    <w:rsid w:val="00566C6A"/>
    <w:rsid w:val="00566CE5"/>
    <w:rsid w:val="00566D36"/>
    <w:rsid w:val="00573569"/>
    <w:rsid w:val="00573871"/>
    <w:rsid w:val="0057389E"/>
    <w:rsid w:val="0057452E"/>
    <w:rsid w:val="005765C0"/>
    <w:rsid w:val="005778DE"/>
    <w:rsid w:val="00580B3F"/>
    <w:rsid w:val="005825F2"/>
    <w:rsid w:val="00583885"/>
    <w:rsid w:val="005860AF"/>
    <w:rsid w:val="00587F1D"/>
    <w:rsid w:val="00590348"/>
    <w:rsid w:val="00591161"/>
    <w:rsid w:val="00591CDF"/>
    <w:rsid w:val="00592318"/>
    <w:rsid w:val="00593133"/>
    <w:rsid w:val="0059575D"/>
    <w:rsid w:val="00596825"/>
    <w:rsid w:val="005A06A0"/>
    <w:rsid w:val="005A150A"/>
    <w:rsid w:val="005A2B3E"/>
    <w:rsid w:val="005A3644"/>
    <w:rsid w:val="005A4087"/>
    <w:rsid w:val="005A4B18"/>
    <w:rsid w:val="005A537E"/>
    <w:rsid w:val="005A6F43"/>
    <w:rsid w:val="005A767D"/>
    <w:rsid w:val="005B00F1"/>
    <w:rsid w:val="005B0CE7"/>
    <w:rsid w:val="005B10E2"/>
    <w:rsid w:val="005B1803"/>
    <w:rsid w:val="005B4079"/>
    <w:rsid w:val="005B428E"/>
    <w:rsid w:val="005B5B3C"/>
    <w:rsid w:val="005B64CB"/>
    <w:rsid w:val="005B65C0"/>
    <w:rsid w:val="005B6AAA"/>
    <w:rsid w:val="005B7554"/>
    <w:rsid w:val="005B7C78"/>
    <w:rsid w:val="005C0FB2"/>
    <w:rsid w:val="005C1169"/>
    <w:rsid w:val="005C16E2"/>
    <w:rsid w:val="005C24EF"/>
    <w:rsid w:val="005C2796"/>
    <w:rsid w:val="005C3C6C"/>
    <w:rsid w:val="005C3F4C"/>
    <w:rsid w:val="005C43AA"/>
    <w:rsid w:val="005C48C8"/>
    <w:rsid w:val="005C663C"/>
    <w:rsid w:val="005D0750"/>
    <w:rsid w:val="005D1023"/>
    <w:rsid w:val="005D148F"/>
    <w:rsid w:val="005D2AD2"/>
    <w:rsid w:val="005D4A86"/>
    <w:rsid w:val="005D5EB1"/>
    <w:rsid w:val="005D6A29"/>
    <w:rsid w:val="005E0481"/>
    <w:rsid w:val="005E10BF"/>
    <w:rsid w:val="005E1834"/>
    <w:rsid w:val="005E396E"/>
    <w:rsid w:val="005E49E5"/>
    <w:rsid w:val="005E5481"/>
    <w:rsid w:val="005E55E4"/>
    <w:rsid w:val="005E6C5F"/>
    <w:rsid w:val="005E7636"/>
    <w:rsid w:val="005F028E"/>
    <w:rsid w:val="005F04B4"/>
    <w:rsid w:val="005F11A4"/>
    <w:rsid w:val="005F19F8"/>
    <w:rsid w:val="005F3FB1"/>
    <w:rsid w:val="005F4C33"/>
    <w:rsid w:val="005F5ACF"/>
    <w:rsid w:val="005F60DC"/>
    <w:rsid w:val="006000DD"/>
    <w:rsid w:val="00600F63"/>
    <w:rsid w:val="006012E1"/>
    <w:rsid w:val="0060161A"/>
    <w:rsid w:val="006021B8"/>
    <w:rsid w:val="00602253"/>
    <w:rsid w:val="006023E1"/>
    <w:rsid w:val="00605531"/>
    <w:rsid w:val="00605748"/>
    <w:rsid w:val="00606240"/>
    <w:rsid w:val="0060674A"/>
    <w:rsid w:val="00606F77"/>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2022D"/>
    <w:rsid w:val="00620D7C"/>
    <w:rsid w:val="00621089"/>
    <w:rsid w:val="00621E1F"/>
    <w:rsid w:val="006228B2"/>
    <w:rsid w:val="006228E1"/>
    <w:rsid w:val="00622E32"/>
    <w:rsid w:val="00623688"/>
    <w:rsid w:val="006247E0"/>
    <w:rsid w:val="00625F82"/>
    <w:rsid w:val="00627999"/>
    <w:rsid w:val="00630FF7"/>
    <w:rsid w:val="00633433"/>
    <w:rsid w:val="006341B5"/>
    <w:rsid w:val="006346C9"/>
    <w:rsid w:val="00634727"/>
    <w:rsid w:val="00634B64"/>
    <w:rsid w:val="0063578C"/>
    <w:rsid w:val="0063642C"/>
    <w:rsid w:val="0063681E"/>
    <w:rsid w:val="00636FF9"/>
    <w:rsid w:val="00640DCD"/>
    <w:rsid w:val="00641DC3"/>
    <w:rsid w:val="00642972"/>
    <w:rsid w:val="00644F4D"/>
    <w:rsid w:val="006469B1"/>
    <w:rsid w:val="00646C0D"/>
    <w:rsid w:val="00646C30"/>
    <w:rsid w:val="006476F7"/>
    <w:rsid w:val="0064779E"/>
    <w:rsid w:val="006501FA"/>
    <w:rsid w:val="0065058B"/>
    <w:rsid w:val="006509B0"/>
    <w:rsid w:val="006521F3"/>
    <w:rsid w:val="006524D5"/>
    <w:rsid w:val="00652BBD"/>
    <w:rsid w:val="00653633"/>
    <w:rsid w:val="00653F69"/>
    <w:rsid w:val="00654936"/>
    <w:rsid w:val="00655485"/>
    <w:rsid w:val="006558B3"/>
    <w:rsid w:val="00660BF0"/>
    <w:rsid w:val="0066189C"/>
    <w:rsid w:val="0066246A"/>
    <w:rsid w:val="006630CF"/>
    <w:rsid w:val="00663EFF"/>
    <w:rsid w:val="00664FFB"/>
    <w:rsid w:val="00666F74"/>
    <w:rsid w:val="00667FEA"/>
    <w:rsid w:val="006710D2"/>
    <w:rsid w:val="00671A8B"/>
    <w:rsid w:val="00671F53"/>
    <w:rsid w:val="006725A0"/>
    <w:rsid w:val="00674628"/>
    <w:rsid w:val="0067555E"/>
    <w:rsid w:val="00677FAD"/>
    <w:rsid w:val="006802DE"/>
    <w:rsid w:val="0068032D"/>
    <w:rsid w:val="0068068C"/>
    <w:rsid w:val="00681115"/>
    <w:rsid w:val="00683920"/>
    <w:rsid w:val="00685147"/>
    <w:rsid w:val="00685653"/>
    <w:rsid w:val="0068590D"/>
    <w:rsid w:val="00685A89"/>
    <w:rsid w:val="006861B3"/>
    <w:rsid w:val="00686FA2"/>
    <w:rsid w:val="006870C5"/>
    <w:rsid w:val="00690F0E"/>
    <w:rsid w:val="006911C0"/>
    <w:rsid w:val="00691B7C"/>
    <w:rsid w:val="00694B73"/>
    <w:rsid w:val="00694DF2"/>
    <w:rsid w:val="00695F80"/>
    <w:rsid w:val="006966CD"/>
    <w:rsid w:val="00696735"/>
    <w:rsid w:val="0069780E"/>
    <w:rsid w:val="006A2CA2"/>
    <w:rsid w:val="006B2D40"/>
    <w:rsid w:val="006B34DF"/>
    <w:rsid w:val="006B39B2"/>
    <w:rsid w:val="006B3AF9"/>
    <w:rsid w:val="006B45A0"/>
    <w:rsid w:val="006B5668"/>
    <w:rsid w:val="006B5F71"/>
    <w:rsid w:val="006B6E44"/>
    <w:rsid w:val="006B7059"/>
    <w:rsid w:val="006B7287"/>
    <w:rsid w:val="006B7F2E"/>
    <w:rsid w:val="006C0BF8"/>
    <w:rsid w:val="006C2253"/>
    <w:rsid w:val="006C2CCB"/>
    <w:rsid w:val="006C4334"/>
    <w:rsid w:val="006C4B0F"/>
    <w:rsid w:val="006C5E96"/>
    <w:rsid w:val="006D0F67"/>
    <w:rsid w:val="006D399F"/>
    <w:rsid w:val="006D4F0C"/>
    <w:rsid w:val="006D5645"/>
    <w:rsid w:val="006E0C8A"/>
    <w:rsid w:val="006E2A23"/>
    <w:rsid w:val="006E35E5"/>
    <w:rsid w:val="006E3C72"/>
    <w:rsid w:val="006E4F20"/>
    <w:rsid w:val="006E59DD"/>
    <w:rsid w:val="006E649A"/>
    <w:rsid w:val="006F08DC"/>
    <w:rsid w:val="006F3948"/>
    <w:rsid w:val="006F4403"/>
    <w:rsid w:val="006F45CA"/>
    <w:rsid w:val="006F45EC"/>
    <w:rsid w:val="006F47B8"/>
    <w:rsid w:val="006F47D2"/>
    <w:rsid w:val="006F4B04"/>
    <w:rsid w:val="006F5456"/>
    <w:rsid w:val="006F57F2"/>
    <w:rsid w:val="006F6468"/>
    <w:rsid w:val="006F71FA"/>
    <w:rsid w:val="00700247"/>
    <w:rsid w:val="00701051"/>
    <w:rsid w:val="00701E69"/>
    <w:rsid w:val="007021C2"/>
    <w:rsid w:val="00702502"/>
    <w:rsid w:val="007033A8"/>
    <w:rsid w:val="0070421B"/>
    <w:rsid w:val="007043F0"/>
    <w:rsid w:val="0070482E"/>
    <w:rsid w:val="00704D25"/>
    <w:rsid w:val="00710519"/>
    <w:rsid w:val="00710F6E"/>
    <w:rsid w:val="00711663"/>
    <w:rsid w:val="007116B4"/>
    <w:rsid w:val="00712580"/>
    <w:rsid w:val="007133E4"/>
    <w:rsid w:val="00713788"/>
    <w:rsid w:val="00713940"/>
    <w:rsid w:val="007151A2"/>
    <w:rsid w:val="00716774"/>
    <w:rsid w:val="0071740A"/>
    <w:rsid w:val="007209DD"/>
    <w:rsid w:val="00722E49"/>
    <w:rsid w:val="00723A08"/>
    <w:rsid w:val="00723B5C"/>
    <w:rsid w:val="00724391"/>
    <w:rsid w:val="00724C18"/>
    <w:rsid w:val="007254DD"/>
    <w:rsid w:val="00725FB1"/>
    <w:rsid w:val="00726630"/>
    <w:rsid w:val="00727F73"/>
    <w:rsid w:val="00730705"/>
    <w:rsid w:val="00730944"/>
    <w:rsid w:val="0073248E"/>
    <w:rsid w:val="00733158"/>
    <w:rsid w:val="00733EE9"/>
    <w:rsid w:val="00735B8E"/>
    <w:rsid w:val="00736651"/>
    <w:rsid w:val="0073673C"/>
    <w:rsid w:val="00736935"/>
    <w:rsid w:val="00743DE7"/>
    <w:rsid w:val="0074509E"/>
    <w:rsid w:val="00745B9F"/>
    <w:rsid w:val="0074726F"/>
    <w:rsid w:val="00752D4F"/>
    <w:rsid w:val="0075409F"/>
    <w:rsid w:val="0075525A"/>
    <w:rsid w:val="00755609"/>
    <w:rsid w:val="00755986"/>
    <w:rsid w:val="00755C86"/>
    <w:rsid w:val="00755E19"/>
    <w:rsid w:val="00756BFF"/>
    <w:rsid w:val="00756D77"/>
    <w:rsid w:val="00760041"/>
    <w:rsid w:val="007605C7"/>
    <w:rsid w:val="00760B08"/>
    <w:rsid w:val="00760EDA"/>
    <w:rsid w:val="00761F4E"/>
    <w:rsid w:val="00762150"/>
    <w:rsid w:val="00762621"/>
    <w:rsid w:val="00763F36"/>
    <w:rsid w:val="007648A0"/>
    <w:rsid w:val="00766F4D"/>
    <w:rsid w:val="00770268"/>
    <w:rsid w:val="007706B9"/>
    <w:rsid w:val="007707ED"/>
    <w:rsid w:val="00771C3B"/>
    <w:rsid w:val="007726F9"/>
    <w:rsid w:val="00773B94"/>
    <w:rsid w:val="00773C65"/>
    <w:rsid w:val="00775937"/>
    <w:rsid w:val="00777046"/>
    <w:rsid w:val="007770DA"/>
    <w:rsid w:val="007805B9"/>
    <w:rsid w:val="00780C3A"/>
    <w:rsid w:val="007834A1"/>
    <w:rsid w:val="00791EB4"/>
    <w:rsid w:val="007928F1"/>
    <w:rsid w:val="0079357D"/>
    <w:rsid w:val="007937CC"/>
    <w:rsid w:val="00793A31"/>
    <w:rsid w:val="0079485D"/>
    <w:rsid w:val="00794979"/>
    <w:rsid w:val="007956B7"/>
    <w:rsid w:val="00795F1A"/>
    <w:rsid w:val="00796EDE"/>
    <w:rsid w:val="00797297"/>
    <w:rsid w:val="007974B3"/>
    <w:rsid w:val="00797875"/>
    <w:rsid w:val="007A076C"/>
    <w:rsid w:val="007A2140"/>
    <w:rsid w:val="007A23E2"/>
    <w:rsid w:val="007A31A5"/>
    <w:rsid w:val="007A411B"/>
    <w:rsid w:val="007A45E6"/>
    <w:rsid w:val="007A4B28"/>
    <w:rsid w:val="007A5C2C"/>
    <w:rsid w:val="007A7678"/>
    <w:rsid w:val="007B0CD8"/>
    <w:rsid w:val="007B0DE0"/>
    <w:rsid w:val="007B21DE"/>
    <w:rsid w:val="007B2BB9"/>
    <w:rsid w:val="007B43E8"/>
    <w:rsid w:val="007B4740"/>
    <w:rsid w:val="007B502C"/>
    <w:rsid w:val="007B5F3B"/>
    <w:rsid w:val="007B6070"/>
    <w:rsid w:val="007C02B0"/>
    <w:rsid w:val="007C063E"/>
    <w:rsid w:val="007C1901"/>
    <w:rsid w:val="007C49C0"/>
    <w:rsid w:val="007C55C1"/>
    <w:rsid w:val="007C5738"/>
    <w:rsid w:val="007C5772"/>
    <w:rsid w:val="007C5AC3"/>
    <w:rsid w:val="007C7233"/>
    <w:rsid w:val="007D10EE"/>
    <w:rsid w:val="007D1193"/>
    <w:rsid w:val="007D21D5"/>
    <w:rsid w:val="007D3E8D"/>
    <w:rsid w:val="007D5915"/>
    <w:rsid w:val="007D5B4F"/>
    <w:rsid w:val="007D5C30"/>
    <w:rsid w:val="007E0660"/>
    <w:rsid w:val="007E1411"/>
    <w:rsid w:val="007E1882"/>
    <w:rsid w:val="007E1BB4"/>
    <w:rsid w:val="007E2077"/>
    <w:rsid w:val="007E3514"/>
    <w:rsid w:val="007E4AAA"/>
    <w:rsid w:val="007E4BD2"/>
    <w:rsid w:val="007E4C29"/>
    <w:rsid w:val="007E5E44"/>
    <w:rsid w:val="007F0DDA"/>
    <w:rsid w:val="007F1939"/>
    <w:rsid w:val="007F365C"/>
    <w:rsid w:val="007F5066"/>
    <w:rsid w:val="007F621C"/>
    <w:rsid w:val="007F7155"/>
    <w:rsid w:val="00800C28"/>
    <w:rsid w:val="0080245E"/>
    <w:rsid w:val="00802E10"/>
    <w:rsid w:val="00803480"/>
    <w:rsid w:val="0080359C"/>
    <w:rsid w:val="008037AE"/>
    <w:rsid w:val="008043F4"/>
    <w:rsid w:val="00804BB4"/>
    <w:rsid w:val="00805D9F"/>
    <w:rsid w:val="00807A4D"/>
    <w:rsid w:val="00807F30"/>
    <w:rsid w:val="008103DC"/>
    <w:rsid w:val="0081119F"/>
    <w:rsid w:val="0081134D"/>
    <w:rsid w:val="00811EDA"/>
    <w:rsid w:val="00812403"/>
    <w:rsid w:val="00812FD7"/>
    <w:rsid w:val="00820623"/>
    <w:rsid w:val="00821747"/>
    <w:rsid w:val="008229A3"/>
    <w:rsid w:val="00822DFB"/>
    <w:rsid w:val="00822F64"/>
    <w:rsid w:val="008253A6"/>
    <w:rsid w:val="00825A6B"/>
    <w:rsid w:val="00825C50"/>
    <w:rsid w:val="00826577"/>
    <w:rsid w:val="00827439"/>
    <w:rsid w:val="00827C79"/>
    <w:rsid w:val="0083003F"/>
    <w:rsid w:val="00831077"/>
    <w:rsid w:val="00831A4A"/>
    <w:rsid w:val="00832134"/>
    <w:rsid w:val="0083219E"/>
    <w:rsid w:val="008324B3"/>
    <w:rsid w:val="0083497C"/>
    <w:rsid w:val="008352A6"/>
    <w:rsid w:val="00835B5B"/>
    <w:rsid w:val="008367AE"/>
    <w:rsid w:val="00836E50"/>
    <w:rsid w:val="00840477"/>
    <w:rsid w:val="0084121D"/>
    <w:rsid w:val="008418E3"/>
    <w:rsid w:val="008419C1"/>
    <w:rsid w:val="00844515"/>
    <w:rsid w:val="0084465A"/>
    <w:rsid w:val="00844DFF"/>
    <w:rsid w:val="00845D87"/>
    <w:rsid w:val="00846C3A"/>
    <w:rsid w:val="008477BF"/>
    <w:rsid w:val="008503DA"/>
    <w:rsid w:val="00850B68"/>
    <w:rsid w:val="00850E82"/>
    <w:rsid w:val="0085122D"/>
    <w:rsid w:val="008519E8"/>
    <w:rsid w:val="008525FF"/>
    <w:rsid w:val="00852C03"/>
    <w:rsid w:val="0085590C"/>
    <w:rsid w:val="008575EB"/>
    <w:rsid w:val="00862DDD"/>
    <w:rsid w:val="0086326D"/>
    <w:rsid w:val="00863CC1"/>
    <w:rsid w:val="00865B01"/>
    <w:rsid w:val="00866D7A"/>
    <w:rsid w:val="00866EE3"/>
    <w:rsid w:val="00871F04"/>
    <w:rsid w:val="008746C1"/>
    <w:rsid w:val="00880224"/>
    <w:rsid w:val="0088244C"/>
    <w:rsid w:val="00883367"/>
    <w:rsid w:val="00884C47"/>
    <w:rsid w:val="00885E6F"/>
    <w:rsid w:val="008861AC"/>
    <w:rsid w:val="008868E4"/>
    <w:rsid w:val="00886A60"/>
    <w:rsid w:val="0088759B"/>
    <w:rsid w:val="008909B4"/>
    <w:rsid w:val="008922E8"/>
    <w:rsid w:val="00893916"/>
    <w:rsid w:val="0089442C"/>
    <w:rsid w:val="00895818"/>
    <w:rsid w:val="008A2585"/>
    <w:rsid w:val="008A2718"/>
    <w:rsid w:val="008A4CF6"/>
    <w:rsid w:val="008A4E42"/>
    <w:rsid w:val="008A51AA"/>
    <w:rsid w:val="008A6A12"/>
    <w:rsid w:val="008B0DC6"/>
    <w:rsid w:val="008B2B9E"/>
    <w:rsid w:val="008B31F5"/>
    <w:rsid w:val="008B4C79"/>
    <w:rsid w:val="008B5D2D"/>
    <w:rsid w:val="008B6361"/>
    <w:rsid w:val="008C0320"/>
    <w:rsid w:val="008C2A81"/>
    <w:rsid w:val="008C3863"/>
    <w:rsid w:val="008C3B6B"/>
    <w:rsid w:val="008C4BDC"/>
    <w:rsid w:val="008C50FF"/>
    <w:rsid w:val="008C5435"/>
    <w:rsid w:val="008C6BD1"/>
    <w:rsid w:val="008D0B90"/>
    <w:rsid w:val="008D2DB5"/>
    <w:rsid w:val="008D37D4"/>
    <w:rsid w:val="008D3F10"/>
    <w:rsid w:val="008D611D"/>
    <w:rsid w:val="008E1B6A"/>
    <w:rsid w:val="008E3054"/>
    <w:rsid w:val="008E32FF"/>
    <w:rsid w:val="008E5625"/>
    <w:rsid w:val="008E5C5B"/>
    <w:rsid w:val="008E6A37"/>
    <w:rsid w:val="008F0354"/>
    <w:rsid w:val="008F085A"/>
    <w:rsid w:val="008F1462"/>
    <w:rsid w:val="008F2413"/>
    <w:rsid w:val="008F248D"/>
    <w:rsid w:val="008F4B2C"/>
    <w:rsid w:val="008F4C08"/>
    <w:rsid w:val="008F6851"/>
    <w:rsid w:val="008F7BC4"/>
    <w:rsid w:val="009003B8"/>
    <w:rsid w:val="00900E7A"/>
    <w:rsid w:val="00903E11"/>
    <w:rsid w:val="00903EBE"/>
    <w:rsid w:val="009041DE"/>
    <w:rsid w:val="00905D59"/>
    <w:rsid w:val="009062CA"/>
    <w:rsid w:val="00907631"/>
    <w:rsid w:val="00907776"/>
    <w:rsid w:val="00907865"/>
    <w:rsid w:val="00913401"/>
    <w:rsid w:val="00913567"/>
    <w:rsid w:val="009137B6"/>
    <w:rsid w:val="00915EBA"/>
    <w:rsid w:val="00917093"/>
    <w:rsid w:val="0092030E"/>
    <w:rsid w:val="009217B1"/>
    <w:rsid w:val="00921A42"/>
    <w:rsid w:val="009223BB"/>
    <w:rsid w:val="00922491"/>
    <w:rsid w:val="00923BCF"/>
    <w:rsid w:val="00925149"/>
    <w:rsid w:val="00925AEC"/>
    <w:rsid w:val="0092751A"/>
    <w:rsid w:val="009305C4"/>
    <w:rsid w:val="00931FAF"/>
    <w:rsid w:val="00932478"/>
    <w:rsid w:val="009360F6"/>
    <w:rsid w:val="009371DC"/>
    <w:rsid w:val="0093759D"/>
    <w:rsid w:val="00940239"/>
    <w:rsid w:val="009424FB"/>
    <w:rsid w:val="00942BD6"/>
    <w:rsid w:val="00942DED"/>
    <w:rsid w:val="00944404"/>
    <w:rsid w:val="009452D7"/>
    <w:rsid w:val="00945BCF"/>
    <w:rsid w:val="00945FD1"/>
    <w:rsid w:val="00946CCC"/>
    <w:rsid w:val="009503E5"/>
    <w:rsid w:val="00950F71"/>
    <w:rsid w:val="00952F2C"/>
    <w:rsid w:val="009532E3"/>
    <w:rsid w:val="00953615"/>
    <w:rsid w:val="00954BAF"/>
    <w:rsid w:val="00955F48"/>
    <w:rsid w:val="009560B3"/>
    <w:rsid w:val="0095745E"/>
    <w:rsid w:val="00957CE0"/>
    <w:rsid w:val="0096002E"/>
    <w:rsid w:val="0096039E"/>
    <w:rsid w:val="00962CEF"/>
    <w:rsid w:val="00963766"/>
    <w:rsid w:val="00963FDF"/>
    <w:rsid w:val="00964C32"/>
    <w:rsid w:val="0096528F"/>
    <w:rsid w:val="009653F2"/>
    <w:rsid w:val="009661DF"/>
    <w:rsid w:val="009667BD"/>
    <w:rsid w:val="009670C9"/>
    <w:rsid w:val="00967CE2"/>
    <w:rsid w:val="00971DA3"/>
    <w:rsid w:val="00972161"/>
    <w:rsid w:val="0097261B"/>
    <w:rsid w:val="00974881"/>
    <w:rsid w:val="0097606C"/>
    <w:rsid w:val="009771D1"/>
    <w:rsid w:val="0098012D"/>
    <w:rsid w:val="00980845"/>
    <w:rsid w:val="00981BD9"/>
    <w:rsid w:val="0098225F"/>
    <w:rsid w:val="00983A3C"/>
    <w:rsid w:val="00983EFA"/>
    <w:rsid w:val="00984C15"/>
    <w:rsid w:val="00986AF7"/>
    <w:rsid w:val="00987829"/>
    <w:rsid w:val="00987F7A"/>
    <w:rsid w:val="00991276"/>
    <w:rsid w:val="009923E7"/>
    <w:rsid w:val="00992697"/>
    <w:rsid w:val="00992ADB"/>
    <w:rsid w:val="00992D4E"/>
    <w:rsid w:val="009934BB"/>
    <w:rsid w:val="00994621"/>
    <w:rsid w:val="009947FF"/>
    <w:rsid w:val="0099544B"/>
    <w:rsid w:val="009A07A6"/>
    <w:rsid w:val="009A0D56"/>
    <w:rsid w:val="009A31B9"/>
    <w:rsid w:val="009A4D4F"/>
    <w:rsid w:val="009A53D8"/>
    <w:rsid w:val="009A597F"/>
    <w:rsid w:val="009A7B72"/>
    <w:rsid w:val="009A7F49"/>
    <w:rsid w:val="009B03C4"/>
    <w:rsid w:val="009B0AA2"/>
    <w:rsid w:val="009B1D02"/>
    <w:rsid w:val="009B7133"/>
    <w:rsid w:val="009B7658"/>
    <w:rsid w:val="009B7CD1"/>
    <w:rsid w:val="009B7E22"/>
    <w:rsid w:val="009B7E78"/>
    <w:rsid w:val="009C10FE"/>
    <w:rsid w:val="009C13BC"/>
    <w:rsid w:val="009C1CA4"/>
    <w:rsid w:val="009C2532"/>
    <w:rsid w:val="009C2BA4"/>
    <w:rsid w:val="009C6091"/>
    <w:rsid w:val="009C634F"/>
    <w:rsid w:val="009D0219"/>
    <w:rsid w:val="009D0D55"/>
    <w:rsid w:val="009D2295"/>
    <w:rsid w:val="009D2511"/>
    <w:rsid w:val="009D3E7C"/>
    <w:rsid w:val="009D55CA"/>
    <w:rsid w:val="009D5EF0"/>
    <w:rsid w:val="009D6401"/>
    <w:rsid w:val="009D6B1F"/>
    <w:rsid w:val="009E0711"/>
    <w:rsid w:val="009E1917"/>
    <w:rsid w:val="009E3594"/>
    <w:rsid w:val="009E6B77"/>
    <w:rsid w:val="009E7724"/>
    <w:rsid w:val="009E7D1F"/>
    <w:rsid w:val="009F1D82"/>
    <w:rsid w:val="009F37AA"/>
    <w:rsid w:val="009F544C"/>
    <w:rsid w:val="009F5731"/>
    <w:rsid w:val="009F6321"/>
    <w:rsid w:val="009F6378"/>
    <w:rsid w:val="009F7669"/>
    <w:rsid w:val="009F7F45"/>
    <w:rsid w:val="009F7FD5"/>
    <w:rsid w:val="00A005D4"/>
    <w:rsid w:val="00A0083C"/>
    <w:rsid w:val="00A01A90"/>
    <w:rsid w:val="00A02370"/>
    <w:rsid w:val="00A04685"/>
    <w:rsid w:val="00A04C57"/>
    <w:rsid w:val="00A06340"/>
    <w:rsid w:val="00A0684F"/>
    <w:rsid w:val="00A06867"/>
    <w:rsid w:val="00A10148"/>
    <w:rsid w:val="00A113FD"/>
    <w:rsid w:val="00A11DDE"/>
    <w:rsid w:val="00A127A7"/>
    <w:rsid w:val="00A129F4"/>
    <w:rsid w:val="00A136F4"/>
    <w:rsid w:val="00A160D3"/>
    <w:rsid w:val="00A16DC9"/>
    <w:rsid w:val="00A20225"/>
    <w:rsid w:val="00A24269"/>
    <w:rsid w:val="00A243E4"/>
    <w:rsid w:val="00A25392"/>
    <w:rsid w:val="00A25ED4"/>
    <w:rsid w:val="00A263DF"/>
    <w:rsid w:val="00A26C5C"/>
    <w:rsid w:val="00A3026E"/>
    <w:rsid w:val="00A30BDE"/>
    <w:rsid w:val="00A3131C"/>
    <w:rsid w:val="00A31785"/>
    <w:rsid w:val="00A31F14"/>
    <w:rsid w:val="00A324DC"/>
    <w:rsid w:val="00A32B5A"/>
    <w:rsid w:val="00A33CCC"/>
    <w:rsid w:val="00A33ECB"/>
    <w:rsid w:val="00A34DE0"/>
    <w:rsid w:val="00A35728"/>
    <w:rsid w:val="00A36EE3"/>
    <w:rsid w:val="00A37435"/>
    <w:rsid w:val="00A4173D"/>
    <w:rsid w:val="00A41A95"/>
    <w:rsid w:val="00A4248B"/>
    <w:rsid w:val="00A4376E"/>
    <w:rsid w:val="00A4572B"/>
    <w:rsid w:val="00A46246"/>
    <w:rsid w:val="00A46349"/>
    <w:rsid w:val="00A46D5E"/>
    <w:rsid w:val="00A50847"/>
    <w:rsid w:val="00A512C7"/>
    <w:rsid w:val="00A52EBB"/>
    <w:rsid w:val="00A54BFF"/>
    <w:rsid w:val="00A54C63"/>
    <w:rsid w:val="00A54FBB"/>
    <w:rsid w:val="00A55BB1"/>
    <w:rsid w:val="00A55D71"/>
    <w:rsid w:val="00A55FD6"/>
    <w:rsid w:val="00A5619C"/>
    <w:rsid w:val="00A564CD"/>
    <w:rsid w:val="00A564CE"/>
    <w:rsid w:val="00A5675F"/>
    <w:rsid w:val="00A60D6F"/>
    <w:rsid w:val="00A61009"/>
    <w:rsid w:val="00A61762"/>
    <w:rsid w:val="00A61938"/>
    <w:rsid w:val="00A61CFD"/>
    <w:rsid w:val="00A62B86"/>
    <w:rsid w:val="00A63C96"/>
    <w:rsid w:val="00A65805"/>
    <w:rsid w:val="00A66BEE"/>
    <w:rsid w:val="00A671C9"/>
    <w:rsid w:val="00A67DFD"/>
    <w:rsid w:val="00A73623"/>
    <w:rsid w:val="00A74F9F"/>
    <w:rsid w:val="00A750B3"/>
    <w:rsid w:val="00A75559"/>
    <w:rsid w:val="00A7623D"/>
    <w:rsid w:val="00A8217C"/>
    <w:rsid w:val="00A824A7"/>
    <w:rsid w:val="00A83644"/>
    <w:rsid w:val="00A83C07"/>
    <w:rsid w:val="00A83F40"/>
    <w:rsid w:val="00A84945"/>
    <w:rsid w:val="00A85543"/>
    <w:rsid w:val="00A8728B"/>
    <w:rsid w:val="00A91682"/>
    <w:rsid w:val="00A92125"/>
    <w:rsid w:val="00A92E4A"/>
    <w:rsid w:val="00A958CA"/>
    <w:rsid w:val="00A966B6"/>
    <w:rsid w:val="00A96B46"/>
    <w:rsid w:val="00AA003B"/>
    <w:rsid w:val="00AA016B"/>
    <w:rsid w:val="00AA15DD"/>
    <w:rsid w:val="00AA1C09"/>
    <w:rsid w:val="00AA2F67"/>
    <w:rsid w:val="00AA3569"/>
    <w:rsid w:val="00AA3FAC"/>
    <w:rsid w:val="00AA5F4C"/>
    <w:rsid w:val="00AA615C"/>
    <w:rsid w:val="00AA6711"/>
    <w:rsid w:val="00AB2AEC"/>
    <w:rsid w:val="00AB2DC1"/>
    <w:rsid w:val="00AB3102"/>
    <w:rsid w:val="00AB3D9A"/>
    <w:rsid w:val="00AB4824"/>
    <w:rsid w:val="00AB4B1D"/>
    <w:rsid w:val="00AB4C16"/>
    <w:rsid w:val="00AB60CE"/>
    <w:rsid w:val="00AB6B5E"/>
    <w:rsid w:val="00AC047F"/>
    <w:rsid w:val="00AC3934"/>
    <w:rsid w:val="00AC4B91"/>
    <w:rsid w:val="00AC50C8"/>
    <w:rsid w:val="00AC5132"/>
    <w:rsid w:val="00AC5581"/>
    <w:rsid w:val="00AC56AD"/>
    <w:rsid w:val="00AC61BE"/>
    <w:rsid w:val="00AD0C8A"/>
    <w:rsid w:val="00AD0CB4"/>
    <w:rsid w:val="00AD1FF2"/>
    <w:rsid w:val="00AD2A21"/>
    <w:rsid w:val="00AD3B43"/>
    <w:rsid w:val="00AD4FF2"/>
    <w:rsid w:val="00AD506C"/>
    <w:rsid w:val="00AD6BE5"/>
    <w:rsid w:val="00AD783E"/>
    <w:rsid w:val="00AE1393"/>
    <w:rsid w:val="00AE3BC6"/>
    <w:rsid w:val="00AE4D4F"/>
    <w:rsid w:val="00AE627C"/>
    <w:rsid w:val="00AE62B0"/>
    <w:rsid w:val="00AE68A2"/>
    <w:rsid w:val="00AF0029"/>
    <w:rsid w:val="00AF0354"/>
    <w:rsid w:val="00AF1236"/>
    <w:rsid w:val="00AF3C29"/>
    <w:rsid w:val="00AF4401"/>
    <w:rsid w:val="00AF4463"/>
    <w:rsid w:val="00AF53CB"/>
    <w:rsid w:val="00AF65C5"/>
    <w:rsid w:val="00B03CE2"/>
    <w:rsid w:val="00B06544"/>
    <w:rsid w:val="00B105F2"/>
    <w:rsid w:val="00B10991"/>
    <w:rsid w:val="00B12128"/>
    <w:rsid w:val="00B12945"/>
    <w:rsid w:val="00B12C1E"/>
    <w:rsid w:val="00B1467D"/>
    <w:rsid w:val="00B155DF"/>
    <w:rsid w:val="00B156CF"/>
    <w:rsid w:val="00B1570E"/>
    <w:rsid w:val="00B176B9"/>
    <w:rsid w:val="00B17AD5"/>
    <w:rsid w:val="00B17DC8"/>
    <w:rsid w:val="00B17E1E"/>
    <w:rsid w:val="00B207F1"/>
    <w:rsid w:val="00B20A42"/>
    <w:rsid w:val="00B20BDE"/>
    <w:rsid w:val="00B20C41"/>
    <w:rsid w:val="00B2138D"/>
    <w:rsid w:val="00B21768"/>
    <w:rsid w:val="00B23F86"/>
    <w:rsid w:val="00B248A0"/>
    <w:rsid w:val="00B24B42"/>
    <w:rsid w:val="00B24DC6"/>
    <w:rsid w:val="00B24E30"/>
    <w:rsid w:val="00B258F3"/>
    <w:rsid w:val="00B2659C"/>
    <w:rsid w:val="00B26B13"/>
    <w:rsid w:val="00B26BD2"/>
    <w:rsid w:val="00B26FD7"/>
    <w:rsid w:val="00B270AB"/>
    <w:rsid w:val="00B2725B"/>
    <w:rsid w:val="00B27460"/>
    <w:rsid w:val="00B27E7B"/>
    <w:rsid w:val="00B306FC"/>
    <w:rsid w:val="00B309D2"/>
    <w:rsid w:val="00B30E4F"/>
    <w:rsid w:val="00B3124F"/>
    <w:rsid w:val="00B33294"/>
    <w:rsid w:val="00B33657"/>
    <w:rsid w:val="00B34885"/>
    <w:rsid w:val="00B34D68"/>
    <w:rsid w:val="00B36117"/>
    <w:rsid w:val="00B362E3"/>
    <w:rsid w:val="00B37C73"/>
    <w:rsid w:val="00B4009B"/>
    <w:rsid w:val="00B400A1"/>
    <w:rsid w:val="00B40A2B"/>
    <w:rsid w:val="00B420CB"/>
    <w:rsid w:val="00B4401C"/>
    <w:rsid w:val="00B44802"/>
    <w:rsid w:val="00B44A96"/>
    <w:rsid w:val="00B455D1"/>
    <w:rsid w:val="00B46135"/>
    <w:rsid w:val="00B472AB"/>
    <w:rsid w:val="00B47CE4"/>
    <w:rsid w:val="00B503A8"/>
    <w:rsid w:val="00B5121D"/>
    <w:rsid w:val="00B525C0"/>
    <w:rsid w:val="00B52FAB"/>
    <w:rsid w:val="00B5319A"/>
    <w:rsid w:val="00B539F9"/>
    <w:rsid w:val="00B53E56"/>
    <w:rsid w:val="00B546C3"/>
    <w:rsid w:val="00B54BD9"/>
    <w:rsid w:val="00B5503C"/>
    <w:rsid w:val="00B55640"/>
    <w:rsid w:val="00B55C57"/>
    <w:rsid w:val="00B57107"/>
    <w:rsid w:val="00B60D27"/>
    <w:rsid w:val="00B619E4"/>
    <w:rsid w:val="00B61CD3"/>
    <w:rsid w:val="00B61D0B"/>
    <w:rsid w:val="00B6351C"/>
    <w:rsid w:val="00B6439A"/>
    <w:rsid w:val="00B6443B"/>
    <w:rsid w:val="00B6517B"/>
    <w:rsid w:val="00B65E71"/>
    <w:rsid w:val="00B66C26"/>
    <w:rsid w:val="00B67829"/>
    <w:rsid w:val="00B71FB3"/>
    <w:rsid w:val="00B73492"/>
    <w:rsid w:val="00B7512A"/>
    <w:rsid w:val="00B76548"/>
    <w:rsid w:val="00B76BED"/>
    <w:rsid w:val="00B806E6"/>
    <w:rsid w:val="00B82DC1"/>
    <w:rsid w:val="00B835D5"/>
    <w:rsid w:val="00B84028"/>
    <w:rsid w:val="00B84307"/>
    <w:rsid w:val="00B8430D"/>
    <w:rsid w:val="00B85661"/>
    <w:rsid w:val="00B85C8A"/>
    <w:rsid w:val="00B86FBD"/>
    <w:rsid w:val="00B91B86"/>
    <w:rsid w:val="00B927CA"/>
    <w:rsid w:val="00B92885"/>
    <w:rsid w:val="00B928AE"/>
    <w:rsid w:val="00B93CDA"/>
    <w:rsid w:val="00B942E9"/>
    <w:rsid w:val="00B9433A"/>
    <w:rsid w:val="00B948EE"/>
    <w:rsid w:val="00B94BF3"/>
    <w:rsid w:val="00B94F90"/>
    <w:rsid w:val="00B95DC5"/>
    <w:rsid w:val="00B96E28"/>
    <w:rsid w:val="00B97E34"/>
    <w:rsid w:val="00B97FEF"/>
    <w:rsid w:val="00BA0CC3"/>
    <w:rsid w:val="00BA1354"/>
    <w:rsid w:val="00BA24F8"/>
    <w:rsid w:val="00BA31AA"/>
    <w:rsid w:val="00BA45D8"/>
    <w:rsid w:val="00BA5828"/>
    <w:rsid w:val="00BA64B3"/>
    <w:rsid w:val="00BA754A"/>
    <w:rsid w:val="00BA7820"/>
    <w:rsid w:val="00BA794C"/>
    <w:rsid w:val="00BB09FB"/>
    <w:rsid w:val="00BB238D"/>
    <w:rsid w:val="00BB37CC"/>
    <w:rsid w:val="00BB48C4"/>
    <w:rsid w:val="00BB6907"/>
    <w:rsid w:val="00BB7A20"/>
    <w:rsid w:val="00BC15B1"/>
    <w:rsid w:val="00BC3C06"/>
    <w:rsid w:val="00BC4E8B"/>
    <w:rsid w:val="00BC5622"/>
    <w:rsid w:val="00BC6060"/>
    <w:rsid w:val="00BC6A9F"/>
    <w:rsid w:val="00BC7897"/>
    <w:rsid w:val="00BD06D7"/>
    <w:rsid w:val="00BD0F35"/>
    <w:rsid w:val="00BD45A4"/>
    <w:rsid w:val="00BD4A5F"/>
    <w:rsid w:val="00BD59AA"/>
    <w:rsid w:val="00BD65E6"/>
    <w:rsid w:val="00BD6AF7"/>
    <w:rsid w:val="00BE19EF"/>
    <w:rsid w:val="00BE425B"/>
    <w:rsid w:val="00BE51BB"/>
    <w:rsid w:val="00BE7595"/>
    <w:rsid w:val="00BE77D3"/>
    <w:rsid w:val="00BF0138"/>
    <w:rsid w:val="00BF114B"/>
    <w:rsid w:val="00BF1620"/>
    <w:rsid w:val="00BF1AC3"/>
    <w:rsid w:val="00BF373A"/>
    <w:rsid w:val="00BF409D"/>
    <w:rsid w:val="00BF62D2"/>
    <w:rsid w:val="00BF6D9E"/>
    <w:rsid w:val="00BF71BB"/>
    <w:rsid w:val="00BF76F7"/>
    <w:rsid w:val="00BF7C9F"/>
    <w:rsid w:val="00C00012"/>
    <w:rsid w:val="00C000A5"/>
    <w:rsid w:val="00C006B4"/>
    <w:rsid w:val="00C00938"/>
    <w:rsid w:val="00C00E2A"/>
    <w:rsid w:val="00C025B9"/>
    <w:rsid w:val="00C044B4"/>
    <w:rsid w:val="00C05105"/>
    <w:rsid w:val="00C05A5D"/>
    <w:rsid w:val="00C0654A"/>
    <w:rsid w:val="00C06DE3"/>
    <w:rsid w:val="00C06F97"/>
    <w:rsid w:val="00C10BE6"/>
    <w:rsid w:val="00C11296"/>
    <w:rsid w:val="00C11905"/>
    <w:rsid w:val="00C11917"/>
    <w:rsid w:val="00C1234A"/>
    <w:rsid w:val="00C12661"/>
    <w:rsid w:val="00C126E3"/>
    <w:rsid w:val="00C1330F"/>
    <w:rsid w:val="00C13ED7"/>
    <w:rsid w:val="00C14615"/>
    <w:rsid w:val="00C14F48"/>
    <w:rsid w:val="00C15296"/>
    <w:rsid w:val="00C17750"/>
    <w:rsid w:val="00C2094B"/>
    <w:rsid w:val="00C20DC5"/>
    <w:rsid w:val="00C212C4"/>
    <w:rsid w:val="00C228C1"/>
    <w:rsid w:val="00C2294E"/>
    <w:rsid w:val="00C22A5B"/>
    <w:rsid w:val="00C23412"/>
    <w:rsid w:val="00C264C7"/>
    <w:rsid w:val="00C2682A"/>
    <w:rsid w:val="00C271C4"/>
    <w:rsid w:val="00C274F3"/>
    <w:rsid w:val="00C30A54"/>
    <w:rsid w:val="00C316F7"/>
    <w:rsid w:val="00C31DF0"/>
    <w:rsid w:val="00C33916"/>
    <w:rsid w:val="00C33BCF"/>
    <w:rsid w:val="00C353A0"/>
    <w:rsid w:val="00C368D7"/>
    <w:rsid w:val="00C36FD1"/>
    <w:rsid w:val="00C371A5"/>
    <w:rsid w:val="00C400B0"/>
    <w:rsid w:val="00C413FC"/>
    <w:rsid w:val="00C42424"/>
    <w:rsid w:val="00C43D33"/>
    <w:rsid w:val="00C44407"/>
    <w:rsid w:val="00C456E8"/>
    <w:rsid w:val="00C46630"/>
    <w:rsid w:val="00C47A2F"/>
    <w:rsid w:val="00C50D18"/>
    <w:rsid w:val="00C51179"/>
    <w:rsid w:val="00C5282C"/>
    <w:rsid w:val="00C52FBE"/>
    <w:rsid w:val="00C5355E"/>
    <w:rsid w:val="00C535E2"/>
    <w:rsid w:val="00C53FC1"/>
    <w:rsid w:val="00C551D2"/>
    <w:rsid w:val="00C56438"/>
    <w:rsid w:val="00C570B3"/>
    <w:rsid w:val="00C6009F"/>
    <w:rsid w:val="00C60417"/>
    <w:rsid w:val="00C6046F"/>
    <w:rsid w:val="00C638C2"/>
    <w:rsid w:val="00C651D4"/>
    <w:rsid w:val="00C6669E"/>
    <w:rsid w:val="00C672B0"/>
    <w:rsid w:val="00C729C7"/>
    <w:rsid w:val="00C777AD"/>
    <w:rsid w:val="00C80C53"/>
    <w:rsid w:val="00C81195"/>
    <w:rsid w:val="00C81798"/>
    <w:rsid w:val="00C85387"/>
    <w:rsid w:val="00C85E52"/>
    <w:rsid w:val="00C86471"/>
    <w:rsid w:val="00C8677B"/>
    <w:rsid w:val="00C86F96"/>
    <w:rsid w:val="00C909C6"/>
    <w:rsid w:val="00C923B7"/>
    <w:rsid w:val="00C94D4C"/>
    <w:rsid w:val="00C96C1E"/>
    <w:rsid w:val="00C96CA4"/>
    <w:rsid w:val="00CA012C"/>
    <w:rsid w:val="00CA0AA6"/>
    <w:rsid w:val="00CA2897"/>
    <w:rsid w:val="00CA44F3"/>
    <w:rsid w:val="00CA582C"/>
    <w:rsid w:val="00CA6077"/>
    <w:rsid w:val="00CA715B"/>
    <w:rsid w:val="00CA7988"/>
    <w:rsid w:val="00CA7BA2"/>
    <w:rsid w:val="00CB0B78"/>
    <w:rsid w:val="00CB12A5"/>
    <w:rsid w:val="00CB17FA"/>
    <w:rsid w:val="00CB23D8"/>
    <w:rsid w:val="00CB2ED9"/>
    <w:rsid w:val="00CB36A5"/>
    <w:rsid w:val="00CB56B4"/>
    <w:rsid w:val="00CB7286"/>
    <w:rsid w:val="00CB7947"/>
    <w:rsid w:val="00CC1783"/>
    <w:rsid w:val="00CC3B46"/>
    <w:rsid w:val="00CC3D8B"/>
    <w:rsid w:val="00CC4E27"/>
    <w:rsid w:val="00CC570C"/>
    <w:rsid w:val="00CC62B6"/>
    <w:rsid w:val="00CC76AA"/>
    <w:rsid w:val="00CC7CD2"/>
    <w:rsid w:val="00CD05CF"/>
    <w:rsid w:val="00CD1FAE"/>
    <w:rsid w:val="00CD232F"/>
    <w:rsid w:val="00CD279E"/>
    <w:rsid w:val="00CD2F92"/>
    <w:rsid w:val="00CD4EB0"/>
    <w:rsid w:val="00CD512D"/>
    <w:rsid w:val="00CD5831"/>
    <w:rsid w:val="00CD6F6E"/>
    <w:rsid w:val="00CE157F"/>
    <w:rsid w:val="00CE1966"/>
    <w:rsid w:val="00CE1ED4"/>
    <w:rsid w:val="00CE2216"/>
    <w:rsid w:val="00CE3014"/>
    <w:rsid w:val="00CE30E5"/>
    <w:rsid w:val="00CE6FC6"/>
    <w:rsid w:val="00CF2056"/>
    <w:rsid w:val="00CF4471"/>
    <w:rsid w:val="00CF51C0"/>
    <w:rsid w:val="00CF5B2A"/>
    <w:rsid w:val="00CF5F57"/>
    <w:rsid w:val="00CF64A7"/>
    <w:rsid w:val="00CF6730"/>
    <w:rsid w:val="00CF70E5"/>
    <w:rsid w:val="00CF7CEC"/>
    <w:rsid w:val="00D00B0F"/>
    <w:rsid w:val="00D01BF4"/>
    <w:rsid w:val="00D0272C"/>
    <w:rsid w:val="00D045CE"/>
    <w:rsid w:val="00D05082"/>
    <w:rsid w:val="00D06163"/>
    <w:rsid w:val="00D06937"/>
    <w:rsid w:val="00D07AFD"/>
    <w:rsid w:val="00D11749"/>
    <w:rsid w:val="00D12A7D"/>
    <w:rsid w:val="00D13AB0"/>
    <w:rsid w:val="00D1519E"/>
    <w:rsid w:val="00D152B7"/>
    <w:rsid w:val="00D16EDC"/>
    <w:rsid w:val="00D17FDE"/>
    <w:rsid w:val="00D201CB"/>
    <w:rsid w:val="00D22786"/>
    <w:rsid w:val="00D228B4"/>
    <w:rsid w:val="00D25AC4"/>
    <w:rsid w:val="00D305F6"/>
    <w:rsid w:val="00D30B25"/>
    <w:rsid w:val="00D3175A"/>
    <w:rsid w:val="00D31A00"/>
    <w:rsid w:val="00D320F7"/>
    <w:rsid w:val="00D323E4"/>
    <w:rsid w:val="00D32871"/>
    <w:rsid w:val="00D329F6"/>
    <w:rsid w:val="00D32D17"/>
    <w:rsid w:val="00D33881"/>
    <w:rsid w:val="00D34282"/>
    <w:rsid w:val="00D366B1"/>
    <w:rsid w:val="00D37AE0"/>
    <w:rsid w:val="00D4017D"/>
    <w:rsid w:val="00D416A8"/>
    <w:rsid w:val="00D4217D"/>
    <w:rsid w:val="00D4257C"/>
    <w:rsid w:val="00D425AC"/>
    <w:rsid w:val="00D42823"/>
    <w:rsid w:val="00D42D5E"/>
    <w:rsid w:val="00D43F14"/>
    <w:rsid w:val="00D44009"/>
    <w:rsid w:val="00D44C18"/>
    <w:rsid w:val="00D4556D"/>
    <w:rsid w:val="00D511C6"/>
    <w:rsid w:val="00D5121D"/>
    <w:rsid w:val="00D516AC"/>
    <w:rsid w:val="00D521BB"/>
    <w:rsid w:val="00D52875"/>
    <w:rsid w:val="00D53941"/>
    <w:rsid w:val="00D54050"/>
    <w:rsid w:val="00D56AC0"/>
    <w:rsid w:val="00D6081B"/>
    <w:rsid w:val="00D60960"/>
    <w:rsid w:val="00D6240A"/>
    <w:rsid w:val="00D63093"/>
    <w:rsid w:val="00D63599"/>
    <w:rsid w:val="00D63EBD"/>
    <w:rsid w:val="00D67101"/>
    <w:rsid w:val="00D71B45"/>
    <w:rsid w:val="00D71F8A"/>
    <w:rsid w:val="00D75603"/>
    <w:rsid w:val="00D75FEE"/>
    <w:rsid w:val="00D76933"/>
    <w:rsid w:val="00D76D88"/>
    <w:rsid w:val="00D77CC9"/>
    <w:rsid w:val="00D83D4B"/>
    <w:rsid w:val="00D871C6"/>
    <w:rsid w:val="00D91010"/>
    <w:rsid w:val="00D9143D"/>
    <w:rsid w:val="00D920D1"/>
    <w:rsid w:val="00DA0FA7"/>
    <w:rsid w:val="00DA12B0"/>
    <w:rsid w:val="00DA2BA0"/>
    <w:rsid w:val="00DA39AD"/>
    <w:rsid w:val="00DA5B13"/>
    <w:rsid w:val="00DA6917"/>
    <w:rsid w:val="00DA6926"/>
    <w:rsid w:val="00DB0965"/>
    <w:rsid w:val="00DB0E47"/>
    <w:rsid w:val="00DB2BDD"/>
    <w:rsid w:val="00DB3381"/>
    <w:rsid w:val="00DB4121"/>
    <w:rsid w:val="00DB46C3"/>
    <w:rsid w:val="00DB5742"/>
    <w:rsid w:val="00DB5EDF"/>
    <w:rsid w:val="00DB6C46"/>
    <w:rsid w:val="00DB72B8"/>
    <w:rsid w:val="00DC16AF"/>
    <w:rsid w:val="00DC2A9A"/>
    <w:rsid w:val="00DC2E2E"/>
    <w:rsid w:val="00DC4D68"/>
    <w:rsid w:val="00DC6463"/>
    <w:rsid w:val="00DC7822"/>
    <w:rsid w:val="00DC7AF1"/>
    <w:rsid w:val="00DD2CDA"/>
    <w:rsid w:val="00DD2D92"/>
    <w:rsid w:val="00DD3026"/>
    <w:rsid w:val="00DD33DC"/>
    <w:rsid w:val="00DD3BB0"/>
    <w:rsid w:val="00DD61F5"/>
    <w:rsid w:val="00DD7418"/>
    <w:rsid w:val="00DE64A6"/>
    <w:rsid w:val="00DE66EB"/>
    <w:rsid w:val="00DE7035"/>
    <w:rsid w:val="00DF12E3"/>
    <w:rsid w:val="00DF2A20"/>
    <w:rsid w:val="00DF3F1D"/>
    <w:rsid w:val="00DF595C"/>
    <w:rsid w:val="00DF7EA7"/>
    <w:rsid w:val="00E04548"/>
    <w:rsid w:val="00E0484E"/>
    <w:rsid w:val="00E063F8"/>
    <w:rsid w:val="00E113B5"/>
    <w:rsid w:val="00E114D6"/>
    <w:rsid w:val="00E1166E"/>
    <w:rsid w:val="00E11DBD"/>
    <w:rsid w:val="00E13211"/>
    <w:rsid w:val="00E16FB5"/>
    <w:rsid w:val="00E179D6"/>
    <w:rsid w:val="00E21407"/>
    <w:rsid w:val="00E22668"/>
    <w:rsid w:val="00E227D3"/>
    <w:rsid w:val="00E22BFF"/>
    <w:rsid w:val="00E22CB0"/>
    <w:rsid w:val="00E23798"/>
    <w:rsid w:val="00E2585D"/>
    <w:rsid w:val="00E25DBD"/>
    <w:rsid w:val="00E25FA2"/>
    <w:rsid w:val="00E2723D"/>
    <w:rsid w:val="00E27C77"/>
    <w:rsid w:val="00E30775"/>
    <w:rsid w:val="00E3179E"/>
    <w:rsid w:val="00E32AC9"/>
    <w:rsid w:val="00E354DA"/>
    <w:rsid w:val="00E354F5"/>
    <w:rsid w:val="00E3687E"/>
    <w:rsid w:val="00E37100"/>
    <w:rsid w:val="00E40974"/>
    <w:rsid w:val="00E40AAB"/>
    <w:rsid w:val="00E41205"/>
    <w:rsid w:val="00E41F32"/>
    <w:rsid w:val="00E42608"/>
    <w:rsid w:val="00E43536"/>
    <w:rsid w:val="00E43DA3"/>
    <w:rsid w:val="00E44B80"/>
    <w:rsid w:val="00E45938"/>
    <w:rsid w:val="00E47430"/>
    <w:rsid w:val="00E50FB7"/>
    <w:rsid w:val="00E5199F"/>
    <w:rsid w:val="00E526DF"/>
    <w:rsid w:val="00E53C15"/>
    <w:rsid w:val="00E54EE6"/>
    <w:rsid w:val="00E56715"/>
    <w:rsid w:val="00E56C2C"/>
    <w:rsid w:val="00E57F8E"/>
    <w:rsid w:val="00E611C8"/>
    <w:rsid w:val="00E6344A"/>
    <w:rsid w:val="00E64E69"/>
    <w:rsid w:val="00E64FB7"/>
    <w:rsid w:val="00E669A1"/>
    <w:rsid w:val="00E679BA"/>
    <w:rsid w:val="00E70243"/>
    <w:rsid w:val="00E72CC6"/>
    <w:rsid w:val="00E73D44"/>
    <w:rsid w:val="00E7494A"/>
    <w:rsid w:val="00E74BE2"/>
    <w:rsid w:val="00E74C66"/>
    <w:rsid w:val="00E75933"/>
    <w:rsid w:val="00E77A1B"/>
    <w:rsid w:val="00E808BE"/>
    <w:rsid w:val="00E81E36"/>
    <w:rsid w:val="00E81E40"/>
    <w:rsid w:val="00E82ECE"/>
    <w:rsid w:val="00E8713B"/>
    <w:rsid w:val="00E90774"/>
    <w:rsid w:val="00E90C61"/>
    <w:rsid w:val="00E92A82"/>
    <w:rsid w:val="00E92AA8"/>
    <w:rsid w:val="00E9344E"/>
    <w:rsid w:val="00E93E39"/>
    <w:rsid w:val="00E94391"/>
    <w:rsid w:val="00E97E2B"/>
    <w:rsid w:val="00EA08CA"/>
    <w:rsid w:val="00EA0C0C"/>
    <w:rsid w:val="00EA1652"/>
    <w:rsid w:val="00EA2AEA"/>
    <w:rsid w:val="00EA332B"/>
    <w:rsid w:val="00EA3D36"/>
    <w:rsid w:val="00EA40AA"/>
    <w:rsid w:val="00EA57E2"/>
    <w:rsid w:val="00EA7186"/>
    <w:rsid w:val="00EB018B"/>
    <w:rsid w:val="00EB1003"/>
    <w:rsid w:val="00EB167E"/>
    <w:rsid w:val="00EB24ED"/>
    <w:rsid w:val="00EB2A00"/>
    <w:rsid w:val="00EB309B"/>
    <w:rsid w:val="00EB3AA2"/>
    <w:rsid w:val="00EB4763"/>
    <w:rsid w:val="00EB6CB7"/>
    <w:rsid w:val="00EC078B"/>
    <w:rsid w:val="00EC07A0"/>
    <w:rsid w:val="00EC08E4"/>
    <w:rsid w:val="00EC3CB4"/>
    <w:rsid w:val="00EC443E"/>
    <w:rsid w:val="00EC4D83"/>
    <w:rsid w:val="00EC4EEE"/>
    <w:rsid w:val="00EC634F"/>
    <w:rsid w:val="00EC6848"/>
    <w:rsid w:val="00EC6C6E"/>
    <w:rsid w:val="00EC7B97"/>
    <w:rsid w:val="00ED049C"/>
    <w:rsid w:val="00ED07B7"/>
    <w:rsid w:val="00ED19D7"/>
    <w:rsid w:val="00ED2167"/>
    <w:rsid w:val="00ED351E"/>
    <w:rsid w:val="00ED4B27"/>
    <w:rsid w:val="00ED543C"/>
    <w:rsid w:val="00ED6BA4"/>
    <w:rsid w:val="00ED7DA7"/>
    <w:rsid w:val="00EE0598"/>
    <w:rsid w:val="00EE311C"/>
    <w:rsid w:val="00EE56FF"/>
    <w:rsid w:val="00EE5886"/>
    <w:rsid w:val="00EE5FBF"/>
    <w:rsid w:val="00EE6472"/>
    <w:rsid w:val="00EE76F2"/>
    <w:rsid w:val="00EF0769"/>
    <w:rsid w:val="00EF0D7C"/>
    <w:rsid w:val="00EF314C"/>
    <w:rsid w:val="00EF383B"/>
    <w:rsid w:val="00EF40E2"/>
    <w:rsid w:val="00EF61C1"/>
    <w:rsid w:val="00EF6E68"/>
    <w:rsid w:val="00EF76DB"/>
    <w:rsid w:val="00F005FD"/>
    <w:rsid w:val="00F016BE"/>
    <w:rsid w:val="00F02C04"/>
    <w:rsid w:val="00F03AF1"/>
    <w:rsid w:val="00F04BCD"/>
    <w:rsid w:val="00F05A8C"/>
    <w:rsid w:val="00F06211"/>
    <w:rsid w:val="00F107EF"/>
    <w:rsid w:val="00F10A54"/>
    <w:rsid w:val="00F123D0"/>
    <w:rsid w:val="00F13200"/>
    <w:rsid w:val="00F13411"/>
    <w:rsid w:val="00F143BA"/>
    <w:rsid w:val="00F14C02"/>
    <w:rsid w:val="00F14D98"/>
    <w:rsid w:val="00F2081B"/>
    <w:rsid w:val="00F20A43"/>
    <w:rsid w:val="00F20C51"/>
    <w:rsid w:val="00F21049"/>
    <w:rsid w:val="00F218AE"/>
    <w:rsid w:val="00F22232"/>
    <w:rsid w:val="00F2228E"/>
    <w:rsid w:val="00F22D3C"/>
    <w:rsid w:val="00F23D66"/>
    <w:rsid w:val="00F24E6F"/>
    <w:rsid w:val="00F26069"/>
    <w:rsid w:val="00F26B7E"/>
    <w:rsid w:val="00F27D7D"/>
    <w:rsid w:val="00F3002B"/>
    <w:rsid w:val="00F30BC9"/>
    <w:rsid w:val="00F32462"/>
    <w:rsid w:val="00F32FF7"/>
    <w:rsid w:val="00F33EDE"/>
    <w:rsid w:val="00F3568B"/>
    <w:rsid w:val="00F377CD"/>
    <w:rsid w:val="00F40C3B"/>
    <w:rsid w:val="00F40CE0"/>
    <w:rsid w:val="00F42A47"/>
    <w:rsid w:val="00F42DBC"/>
    <w:rsid w:val="00F4308D"/>
    <w:rsid w:val="00F44012"/>
    <w:rsid w:val="00F44947"/>
    <w:rsid w:val="00F458EF"/>
    <w:rsid w:val="00F469F8"/>
    <w:rsid w:val="00F47121"/>
    <w:rsid w:val="00F4775D"/>
    <w:rsid w:val="00F504DD"/>
    <w:rsid w:val="00F50874"/>
    <w:rsid w:val="00F516C6"/>
    <w:rsid w:val="00F52221"/>
    <w:rsid w:val="00F52B28"/>
    <w:rsid w:val="00F536BB"/>
    <w:rsid w:val="00F53755"/>
    <w:rsid w:val="00F53E59"/>
    <w:rsid w:val="00F5475B"/>
    <w:rsid w:val="00F574D0"/>
    <w:rsid w:val="00F6031F"/>
    <w:rsid w:val="00F61664"/>
    <w:rsid w:val="00F61B99"/>
    <w:rsid w:val="00F64C45"/>
    <w:rsid w:val="00F6502B"/>
    <w:rsid w:val="00F6612A"/>
    <w:rsid w:val="00F66724"/>
    <w:rsid w:val="00F67F04"/>
    <w:rsid w:val="00F70207"/>
    <w:rsid w:val="00F702CB"/>
    <w:rsid w:val="00F71AC2"/>
    <w:rsid w:val="00F739D4"/>
    <w:rsid w:val="00F75972"/>
    <w:rsid w:val="00F77D43"/>
    <w:rsid w:val="00F80953"/>
    <w:rsid w:val="00F80B5C"/>
    <w:rsid w:val="00F81312"/>
    <w:rsid w:val="00F81B90"/>
    <w:rsid w:val="00F81E6F"/>
    <w:rsid w:val="00F82FF3"/>
    <w:rsid w:val="00F8453C"/>
    <w:rsid w:val="00F84D4C"/>
    <w:rsid w:val="00F8657D"/>
    <w:rsid w:val="00F8730F"/>
    <w:rsid w:val="00F87897"/>
    <w:rsid w:val="00F87DA3"/>
    <w:rsid w:val="00F90004"/>
    <w:rsid w:val="00F90EF4"/>
    <w:rsid w:val="00F917BF"/>
    <w:rsid w:val="00F920B4"/>
    <w:rsid w:val="00F9260D"/>
    <w:rsid w:val="00F92727"/>
    <w:rsid w:val="00F93CCF"/>
    <w:rsid w:val="00F94307"/>
    <w:rsid w:val="00F9580B"/>
    <w:rsid w:val="00F95F15"/>
    <w:rsid w:val="00F975CA"/>
    <w:rsid w:val="00FA0B60"/>
    <w:rsid w:val="00FA2528"/>
    <w:rsid w:val="00FA5524"/>
    <w:rsid w:val="00FA5535"/>
    <w:rsid w:val="00FA7206"/>
    <w:rsid w:val="00FA7EFB"/>
    <w:rsid w:val="00FB0816"/>
    <w:rsid w:val="00FB08C2"/>
    <w:rsid w:val="00FB3DD1"/>
    <w:rsid w:val="00FB51FD"/>
    <w:rsid w:val="00FB5667"/>
    <w:rsid w:val="00FB7A97"/>
    <w:rsid w:val="00FC1601"/>
    <w:rsid w:val="00FC1B9B"/>
    <w:rsid w:val="00FC318D"/>
    <w:rsid w:val="00FC36CF"/>
    <w:rsid w:val="00FC40BC"/>
    <w:rsid w:val="00FC41FC"/>
    <w:rsid w:val="00FC4F6E"/>
    <w:rsid w:val="00FC506C"/>
    <w:rsid w:val="00FC578C"/>
    <w:rsid w:val="00FC5A37"/>
    <w:rsid w:val="00FC7836"/>
    <w:rsid w:val="00FD13EA"/>
    <w:rsid w:val="00FD5EC4"/>
    <w:rsid w:val="00FD7858"/>
    <w:rsid w:val="00FD7A8D"/>
    <w:rsid w:val="00FE1265"/>
    <w:rsid w:val="00FE1330"/>
    <w:rsid w:val="00FE1CE5"/>
    <w:rsid w:val="00FE2832"/>
    <w:rsid w:val="00FE2D38"/>
    <w:rsid w:val="00FE3929"/>
    <w:rsid w:val="00FE3E32"/>
    <w:rsid w:val="00FF097B"/>
    <w:rsid w:val="00FF0B6E"/>
    <w:rsid w:val="00FF1C1B"/>
    <w:rsid w:val="00FF2067"/>
    <w:rsid w:val="00FF3BC4"/>
    <w:rsid w:val="00FF4B66"/>
    <w:rsid w:val="00FF5939"/>
    <w:rsid w:val="00FF6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2d4491,#283583"/>
    </o:shapedefaults>
    <o:shapelayout v:ext="edit">
      <o:idmap v:ext="edit" data="2"/>
    </o:shapelayout>
  </w:shapeDefaults>
  <w:decimalSymbol w:val=","/>
  <w:listSeparator w:val=";"/>
  <w14:docId w14:val="58C3B7DE"/>
  <w15:docId w15:val="{8635646D-F3FD-4B53-9199-E1F8DE938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uiPriority="9"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qFormat="1"/>
    <w:lsdException w:name="annotation text" w:locked="0" w:semiHidden="1" w:unhideWhenUsed="1"/>
    <w:lsdException w:name="header" w:locked="0" w:semiHidden="1" w:unhideWhenUsed="1"/>
    <w:lsdException w:name="footer" w:locked="0" w:semiHidden="1" w:uiPriority="99" w:unhideWhenUsed="1"/>
    <w:lsdException w:name="index heading" w:semiHidden="1" w:unhideWhenUsed="1"/>
    <w:lsdException w:name="caption" w:locked="0" w:semiHidden="1"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iPriority="99" w:unhideWhenUsed="1" w:qFormat="1"/>
    <w:lsdException w:name="annotation reference" w:locked="0" w:semiHidden="1" w:unhideWhenUsed="1"/>
    <w:lsdException w:name="line number" w:locked="0" w:semiHidden="1" w:uiPriority="99" w:unhideWhenUsed="1"/>
    <w:lsdException w:name="page number" w:locked="0"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locked="0"/>
    <w:lsdException w:name="List 2" w:semiHidden="1" w:unhideWhenUsed="1"/>
    <w:lsdException w:name="List 3"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locked="0" w:semiHidden="1" w:unhideWhenUsed="1"/>
    <w:lsdException w:name="Strong" w:locked="0" w:qFormat="1"/>
    <w:lsdException w:name="Emphasis" w:locked="0" w:uiPriority="20"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ocked="0"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646C30"/>
    <w:rPr>
      <w:rFonts w:ascii="Arial" w:hAnsi="Arial"/>
      <w:szCs w:val="24"/>
      <w:lang w:eastAsia="de-DE"/>
    </w:rPr>
  </w:style>
  <w:style w:type="paragraph" w:styleId="Ttulo1">
    <w:name w:val="heading 1"/>
    <w:basedOn w:val="Normal"/>
    <w:next w:val="Normal"/>
    <w:link w:val="Ttulo1Car"/>
    <w:qFormat/>
    <w:locked/>
    <w:rsid w:val="009E7724"/>
    <w:pPr>
      <w:keepNext/>
      <w:numPr>
        <w:numId w:val="5"/>
      </w:numPr>
      <w:spacing w:before="240" w:after="60"/>
      <w:outlineLvl w:val="0"/>
    </w:pPr>
    <w:rPr>
      <w:rFonts w:cs="Arial"/>
      <w:b/>
      <w:bCs/>
      <w:kern w:val="32"/>
      <w:sz w:val="24"/>
      <w:szCs w:val="32"/>
    </w:rPr>
  </w:style>
  <w:style w:type="paragraph" w:styleId="Ttulo2">
    <w:name w:val="heading 2"/>
    <w:basedOn w:val="Normal"/>
    <w:next w:val="Normal"/>
    <w:link w:val="Ttulo2Car"/>
    <w:qFormat/>
    <w:locked/>
    <w:rsid w:val="00886A60"/>
    <w:pPr>
      <w:keepNext/>
      <w:keepLines/>
      <w:spacing w:before="200" w:after="120"/>
      <w:outlineLvl w:val="1"/>
    </w:pPr>
    <w:rPr>
      <w:b/>
      <w:bCs/>
      <w:szCs w:val="26"/>
    </w:rPr>
  </w:style>
  <w:style w:type="paragraph" w:styleId="Ttulo3">
    <w:name w:val="heading 3"/>
    <w:basedOn w:val="Normal"/>
    <w:next w:val="Normal"/>
    <w:link w:val="Ttulo3Car"/>
    <w:qFormat/>
    <w:locked/>
    <w:rsid w:val="003865E5"/>
    <w:pPr>
      <w:keepNext/>
      <w:keepLines/>
      <w:spacing w:before="200"/>
      <w:outlineLvl w:val="2"/>
    </w:pPr>
    <w:rPr>
      <w:rFonts w:ascii="Cambria" w:hAnsi="Cambria"/>
      <w:b/>
      <w:bCs/>
      <w:color w:val="4F81BD"/>
    </w:rPr>
  </w:style>
  <w:style w:type="paragraph" w:styleId="Ttulo4">
    <w:name w:val="heading 4"/>
    <w:basedOn w:val="Normal"/>
    <w:next w:val="Normal"/>
    <w:link w:val="Ttulo4Car"/>
    <w:qFormat/>
    <w:locked/>
    <w:rsid w:val="00CB7286"/>
    <w:pPr>
      <w:keepNext/>
      <w:tabs>
        <w:tab w:val="num" w:pos="864"/>
      </w:tabs>
      <w:spacing w:before="240" w:after="60"/>
      <w:ind w:left="864" w:hanging="864"/>
      <w:outlineLvl w:val="3"/>
    </w:pPr>
    <w:rPr>
      <w:rFonts w:ascii="Times New Roman" w:hAnsi="Times New Roman"/>
      <w:b/>
      <w:bCs/>
      <w:sz w:val="28"/>
      <w:szCs w:val="28"/>
    </w:rPr>
  </w:style>
  <w:style w:type="paragraph" w:styleId="Ttulo5">
    <w:name w:val="heading 5"/>
    <w:aliases w:val="Questions"/>
    <w:basedOn w:val="Normal"/>
    <w:next w:val="Normal"/>
    <w:link w:val="Ttulo5Car"/>
    <w:uiPriority w:val="9"/>
    <w:qFormat/>
    <w:locked/>
    <w:rsid w:val="00E9344E"/>
    <w:pPr>
      <w:keepNext/>
      <w:keepLines/>
      <w:numPr>
        <w:numId w:val="13"/>
      </w:numPr>
      <w:spacing w:before="200"/>
      <w:jc w:val="both"/>
      <w:outlineLvl w:val="4"/>
    </w:pPr>
    <w:rPr>
      <w:b/>
    </w:rPr>
  </w:style>
  <w:style w:type="paragraph" w:styleId="Ttulo6">
    <w:name w:val="heading 6"/>
    <w:basedOn w:val="Normal"/>
    <w:next w:val="Normal"/>
    <w:link w:val="Ttulo6Car"/>
    <w:qFormat/>
    <w:locked/>
    <w:rsid w:val="003609B6"/>
    <w:pPr>
      <w:numPr>
        <w:ilvl w:val="5"/>
        <w:numId w:val="4"/>
      </w:numPr>
      <w:spacing w:before="240" w:after="60"/>
      <w:outlineLvl w:val="5"/>
    </w:pPr>
    <w:rPr>
      <w:rFonts w:ascii="Times New Roman" w:hAnsi="Times New Roman"/>
      <w:b/>
      <w:bCs/>
      <w:szCs w:val="22"/>
    </w:rPr>
  </w:style>
  <w:style w:type="paragraph" w:styleId="Ttulo7">
    <w:name w:val="heading 7"/>
    <w:basedOn w:val="Normal"/>
    <w:next w:val="Normal"/>
    <w:link w:val="Ttulo7Car"/>
    <w:unhideWhenUsed/>
    <w:qFormat/>
    <w:locked/>
    <w:rsid w:val="002D6E1A"/>
    <w:pPr>
      <w:spacing w:before="240" w:after="60"/>
      <w:ind w:left="1296" w:hanging="1296"/>
      <w:outlineLvl w:val="6"/>
    </w:pPr>
    <w:rPr>
      <w:rFonts w:ascii="Times New Roman" w:hAnsi="Times New Roman"/>
    </w:rPr>
  </w:style>
  <w:style w:type="paragraph" w:styleId="Ttulo8">
    <w:name w:val="heading 8"/>
    <w:basedOn w:val="Normal"/>
    <w:next w:val="Normal"/>
    <w:link w:val="Ttulo8Car"/>
    <w:qFormat/>
    <w:locked/>
    <w:rsid w:val="003609B6"/>
    <w:pPr>
      <w:numPr>
        <w:ilvl w:val="7"/>
        <w:numId w:val="4"/>
      </w:numPr>
      <w:spacing w:before="240" w:after="60"/>
      <w:outlineLvl w:val="7"/>
    </w:pPr>
    <w:rPr>
      <w:rFonts w:ascii="Times New Roman" w:hAnsi="Times New Roman"/>
      <w:i/>
      <w:iCs/>
    </w:rPr>
  </w:style>
  <w:style w:type="paragraph" w:styleId="Ttulo9">
    <w:name w:val="heading 9"/>
    <w:basedOn w:val="Normal"/>
    <w:next w:val="Normal"/>
    <w:link w:val="Ttulo9Car"/>
    <w:qFormat/>
    <w:locked/>
    <w:rsid w:val="00A06867"/>
    <w:pPr>
      <w:tabs>
        <w:tab w:val="num" w:pos="1584"/>
      </w:tabs>
      <w:spacing w:before="240" w:after="60"/>
      <w:ind w:left="1584" w:hanging="1584"/>
      <w:outlineLvl w:val="8"/>
    </w:pPr>
    <w:rPr>
      <w:rFonts w:cs="Arial"/>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locked/>
    <w:rsid w:val="005B64CB"/>
    <w:pPr>
      <w:tabs>
        <w:tab w:val="center" w:pos="4536"/>
        <w:tab w:val="right" w:pos="9072"/>
      </w:tabs>
    </w:pPr>
  </w:style>
  <w:style w:type="paragraph" w:styleId="Piedepgina">
    <w:name w:val="footer"/>
    <w:basedOn w:val="Normal"/>
    <w:link w:val="PiedepginaCar"/>
    <w:uiPriority w:val="99"/>
    <w:locked/>
    <w:rsid w:val="005B64CB"/>
    <w:pPr>
      <w:tabs>
        <w:tab w:val="center" w:pos="4536"/>
        <w:tab w:val="right" w:pos="9072"/>
      </w:tabs>
    </w:pPr>
  </w:style>
  <w:style w:type="table" w:styleId="Tablaconcuadrcula">
    <w:name w:val="Table Grid"/>
    <w:basedOn w:val="Tablanormal"/>
    <w:uiPriority w:val="39"/>
    <w:locked/>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locked/>
    <w:rsid w:val="003E3ACA"/>
    <w:pPr>
      <w:spacing w:line="200" w:lineRule="exact"/>
    </w:pPr>
    <w:rPr>
      <w:color w:val="2D4190"/>
      <w:sz w:val="16"/>
    </w:rPr>
  </w:style>
  <w:style w:type="paragraph" w:customStyle="1" w:styleId="05aTitle">
    <w:name w:val="05a_Title"/>
    <w:basedOn w:val="Normal"/>
    <w:locked/>
    <w:rsid w:val="00791EB4"/>
    <w:pPr>
      <w:spacing w:line="340" w:lineRule="exact"/>
    </w:pPr>
    <w:rPr>
      <w:b/>
      <w:color w:val="000000"/>
      <w:sz w:val="28"/>
    </w:rPr>
  </w:style>
  <w:style w:type="paragraph" w:customStyle="1" w:styleId="02Date">
    <w:name w:val="02_Date"/>
    <w:basedOn w:val="Normal"/>
    <w:locked/>
    <w:rsid w:val="001725A5"/>
    <w:pPr>
      <w:spacing w:line="220" w:lineRule="exact"/>
    </w:pPr>
    <w:rPr>
      <w:sz w:val="17"/>
    </w:rPr>
  </w:style>
  <w:style w:type="paragraph" w:customStyle="1" w:styleId="00aPagenumber">
    <w:name w:val="00a_Page number"/>
    <w:basedOn w:val="00Footer"/>
    <w:locked/>
    <w:rsid w:val="003E3ACA"/>
    <w:pPr>
      <w:spacing w:line="280" w:lineRule="atLeast"/>
      <w:jc w:val="right"/>
    </w:pPr>
    <w:rPr>
      <w:color w:val="000000"/>
      <w:sz w:val="20"/>
    </w:rPr>
  </w:style>
  <w:style w:type="paragraph" w:customStyle="1" w:styleId="04BodyText">
    <w:name w:val="04_Body Text"/>
    <w:basedOn w:val="Normal"/>
    <w:link w:val="04BodyTextChar"/>
    <w:locked/>
    <w:rsid w:val="001725A5"/>
    <w:pPr>
      <w:spacing w:after="250" w:line="276" w:lineRule="auto"/>
      <w:jc w:val="both"/>
    </w:pPr>
  </w:style>
  <w:style w:type="paragraph" w:customStyle="1" w:styleId="05HeadlinenoIndex">
    <w:name w:val="05_Headline no Index"/>
    <w:basedOn w:val="04BodyText"/>
    <w:locked/>
    <w:rsid w:val="001725A5"/>
    <w:pPr>
      <w:spacing w:line="300" w:lineRule="exact"/>
    </w:pPr>
    <w:rPr>
      <w:b/>
      <w:sz w:val="24"/>
    </w:rPr>
  </w:style>
  <w:style w:type="paragraph" w:customStyle="1" w:styleId="05cHeadline1">
    <w:name w:val="05c_Headline 1"/>
    <w:basedOn w:val="05HeadlinenoIndex"/>
    <w:next w:val="04BodyText"/>
    <w:locked/>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locked/>
    <w:rsid w:val="00D75603"/>
    <w:pPr>
      <w:tabs>
        <w:tab w:val="num" w:pos="851"/>
      </w:tabs>
      <w:ind w:left="851" w:hanging="284"/>
    </w:pPr>
  </w:style>
  <w:style w:type="character" w:styleId="Nmerodepgina">
    <w:name w:val="page number"/>
    <w:basedOn w:val="Fuentedeprrafopredeter"/>
    <w:locked/>
    <w:rsid w:val="00620D7C"/>
  </w:style>
  <w:style w:type="paragraph" w:customStyle="1" w:styleId="00bDBInfo">
    <w:name w:val="00b_DB_Info"/>
    <w:basedOn w:val="00aPagenumber"/>
    <w:locked/>
    <w:rsid w:val="001725A5"/>
    <w:rPr>
      <w:color w:val="FFFFFF"/>
    </w:rPr>
  </w:style>
  <w:style w:type="paragraph" w:customStyle="1" w:styleId="01aDBTitle">
    <w:name w:val="01a_DB_Title"/>
    <w:basedOn w:val="05aTitle"/>
    <w:locked/>
    <w:rsid w:val="00791EB4"/>
    <w:pPr>
      <w:spacing w:line="400" w:lineRule="exact"/>
      <w:jc w:val="right"/>
    </w:pPr>
    <w:rPr>
      <w:color w:val="2D4190"/>
      <w:sz w:val="40"/>
    </w:rPr>
  </w:style>
  <w:style w:type="paragraph" w:customStyle="1" w:styleId="01bDBSubtitle">
    <w:name w:val="01b_DB_Subtitle"/>
    <w:locked/>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locked/>
    <w:rsid w:val="003E3ACA"/>
    <w:pPr>
      <w:numPr>
        <w:numId w:val="1"/>
      </w:numPr>
      <w:pBdr>
        <w:top w:val="single" w:sz="4" w:space="10" w:color="283583"/>
      </w:pBdr>
      <w:tabs>
        <w:tab w:val="left" w:pos="284"/>
      </w:tabs>
    </w:pPr>
    <w:rPr>
      <w:color w:val="2D4190"/>
    </w:rPr>
  </w:style>
  <w:style w:type="paragraph" w:styleId="TDC1">
    <w:name w:val="toc 1"/>
    <w:basedOn w:val="Normal"/>
    <w:next w:val="Normal"/>
    <w:autoRedefine/>
    <w:uiPriority w:val="39"/>
    <w:qFormat/>
    <w:locked/>
    <w:rsid w:val="006476F7"/>
    <w:pPr>
      <w:tabs>
        <w:tab w:val="left" w:pos="510"/>
        <w:tab w:val="right" w:leader="underscore" w:pos="9412"/>
      </w:tabs>
      <w:spacing w:line="250" w:lineRule="exact"/>
    </w:pPr>
  </w:style>
  <w:style w:type="paragraph" w:customStyle="1" w:styleId="04fBodytextblue">
    <w:name w:val="04f_Body text blue"/>
    <w:basedOn w:val="04BodyText"/>
    <w:locked/>
    <w:rsid w:val="001725A5"/>
    <w:pPr>
      <w:pBdr>
        <w:bottom w:val="single" w:sz="4" w:space="12" w:color="283583"/>
      </w:pBdr>
    </w:pPr>
    <w:rPr>
      <w:color w:val="2D4190"/>
    </w:rPr>
  </w:style>
  <w:style w:type="character" w:styleId="Hipervnculo">
    <w:name w:val="Hyperlink"/>
    <w:uiPriority w:val="99"/>
    <w:locked/>
    <w:rsid w:val="00EA332B"/>
    <w:rPr>
      <w:color w:val="0000FF"/>
      <w:u w:val="single"/>
    </w:rPr>
  </w:style>
  <w:style w:type="paragraph" w:customStyle="1" w:styleId="04bList">
    <w:name w:val="04b_List"/>
    <w:basedOn w:val="04BodyText"/>
    <w:uiPriority w:val="99"/>
    <w:locked/>
    <w:rsid w:val="00D75603"/>
    <w:pPr>
      <w:numPr>
        <w:numId w:val="3"/>
      </w:numPr>
    </w:pPr>
  </w:style>
  <w:style w:type="paragraph" w:customStyle="1" w:styleId="04eBodytextleft">
    <w:name w:val="04e_Body text left"/>
    <w:basedOn w:val="04BodyText"/>
    <w:locked/>
    <w:rsid w:val="001725A5"/>
    <w:pPr>
      <w:spacing w:after="0"/>
      <w:jc w:val="left"/>
    </w:pPr>
  </w:style>
  <w:style w:type="paragraph" w:customStyle="1" w:styleId="05eHeadline2">
    <w:name w:val="05e_Headline 2"/>
    <w:locked/>
    <w:rsid w:val="003E3ACA"/>
    <w:pPr>
      <w:numPr>
        <w:ilvl w:val="1"/>
        <w:numId w:val="4"/>
      </w:numPr>
      <w:tabs>
        <w:tab w:val="left" w:pos="397"/>
      </w:tabs>
      <w:spacing w:after="250" w:line="250" w:lineRule="exact"/>
    </w:pPr>
    <w:rPr>
      <w:rFonts w:ascii="Georgia" w:hAnsi="Georgia" w:cs="Arial"/>
      <w:bCs/>
      <w:iCs/>
      <w:lang w:eastAsia="de-DE"/>
    </w:rPr>
  </w:style>
  <w:style w:type="paragraph" w:styleId="Textonotapie">
    <w:name w:val="footnote text"/>
    <w:aliases w:val="Char3, Char3,Fußnotentextf,Fußnotentextr,stile 1,Footnote1,Footnote2,Footnote3,Footnote4,Footnote5,Footnote6,Footnote7,Footnote8,Footnote9,Footnote10,Footnote11,Footnote21,Footnote31,Footnote41,Footnote51,Footnote61,Footnote71"/>
    <w:basedOn w:val="Normal"/>
    <w:link w:val="TextonotapieCar"/>
    <w:qFormat/>
    <w:locked/>
    <w:rsid w:val="001725A5"/>
    <w:pPr>
      <w:spacing w:line="200" w:lineRule="exact"/>
    </w:pPr>
    <w:rPr>
      <w:sz w:val="16"/>
      <w:szCs w:val="20"/>
    </w:rPr>
  </w:style>
  <w:style w:type="character" w:styleId="Refdenotaalpie">
    <w:name w:val="footnote reference"/>
    <w:aliases w:val="SUPERS,Footnote reference number,Footnote symbol,note TESI,-E Fußnotenzeichen,number,BVI fnr,Footnote,Footnote Reference Superscript,(Footnote Reference),EN Footnote Reference,Voetnootverwijzing,Times 10 Point,Exposant 3 Poi,16 Point"/>
    <w:uiPriority w:val="99"/>
    <w:qFormat/>
    <w:locked/>
    <w:rsid w:val="00C274F3"/>
    <w:rPr>
      <w:vertAlign w:val="superscript"/>
    </w:rPr>
  </w:style>
  <w:style w:type="paragraph" w:styleId="TDC2">
    <w:name w:val="toc 2"/>
    <w:basedOn w:val="Normal"/>
    <w:next w:val="Normal"/>
    <w:autoRedefine/>
    <w:uiPriority w:val="39"/>
    <w:qFormat/>
    <w:locked/>
    <w:rsid w:val="00463787"/>
    <w:pPr>
      <w:spacing w:after="100"/>
      <w:ind w:left="220"/>
    </w:pPr>
  </w:style>
  <w:style w:type="paragraph" w:customStyle="1" w:styleId="05bHeadline1black">
    <w:name w:val="05b_Headline 1 black"/>
    <w:basedOn w:val="05dHeadline1blue"/>
    <w:locked/>
    <w:rsid w:val="003E3ACA"/>
    <w:pPr>
      <w:pBdr>
        <w:top w:val="none" w:sz="0" w:space="0" w:color="auto"/>
      </w:pBdr>
    </w:pPr>
    <w:rPr>
      <w:color w:val="000000"/>
    </w:rPr>
  </w:style>
  <w:style w:type="paragraph" w:customStyle="1" w:styleId="03Headbold">
    <w:name w:val="03_Head_bold"/>
    <w:basedOn w:val="04BodyText"/>
    <w:locked/>
    <w:rsid w:val="00C13ED7"/>
    <w:pPr>
      <w:tabs>
        <w:tab w:val="left" w:pos="414"/>
        <w:tab w:val="left" w:pos="454"/>
      </w:tabs>
      <w:spacing w:after="0" w:line="240" w:lineRule="auto"/>
    </w:pPr>
    <w:rPr>
      <w:b/>
    </w:rPr>
  </w:style>
  <w:style w:type="paragraph" w:customStyle="1" w:styleId="03aHead">
    <w:name w:val="03a_Head"/>
    <w:basedOn w:val="03Headbold"/>
    <w:locked/>
    <w:rsid w:val="00C13ED7"/>
    <w:rPr>
      <w:b w:val="0"/>
    </w:rPr>
  </w:style>
  <w:style w:type="paragraph" w:customStyle="1" w:styleId="04dBodyTextbold">
    <w:name w:val="04d_Body Text bold"/>
    <w:basedOn w:val="04BodyText"/>
    <w:locked/>
    <w:rsid w:val="00C13ED7"/>
    <w:pPr>
      <w:tabs>
        <w:tab w:val="left" w:pos="414"/>
      </w:tabs>
    </w:pPr>
    <w:rPr>
      <w:b/>
    </w:rPr>
  </w:style>
  <w:style w:type="paragraph" w:customStyle="1" w:styleId="06InfoTitle">
    <w:name w:val="06_Info_Title"/>
    <w:basedOn w:val="Normal"/>
    <w:link w:val="06InfoTitleZchn"/>
    <w:locked/>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locked/>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locked/>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locked/>
    <w:rsid w:val="00942BD6"/>
    <w:pPr>
      <w:spacing w:line="300" w:lineRule="exact"/>
    </w:pPr>
    <w:rPr>
      <w:b/>
      <w:sz w:val="24"/>
    </w:rPr>
  </w:style>
  <w:style w:type="paragraph" w:customStyle="1" w:styleId="05aHeadline2">
    <w:name w:val="05a_Headline 2"/>
    <w:basedOn w:val="05Headline1"/>
    <w:next w:val="04BodyText"/>
    <w:locked/>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locked/>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locked/>
    <w:rsid w:val="00942BD6"/>
    <w:pPr>
      <w:pBdr>
        <w:bottom w:val="single" w:sz="4" w:space="12" w:color="283583"/>
      </w:pBdr>
    </w:pPr>
    <w:rPr>
      <w:color w:val="2D4190"/>
    </w:rPr>
  </w:style>
  <w:style w:type="paragraph" w:customStyle="1" w:styleId="04cBodytextleft">
    <w:name w:val="04c_Body text left"/>
    <w:basedOn w:val="04BodyText"/>
    <w:locked/>
    <w:rsid w:val="00942BD6"/>
    <w:pPr>
      <w:spacing w:after="0"/>
      <w:jc w:val="left"/>
    </w:pPr>
  </w:style>
  <w:style w:type="paragraph" w:customStyle="1" w:styleId="Style04RunningTextBold">
    <w:name w:val="Style 04_Running Text + Bold"/>
    <w:basedOn w:val="04BodyText"/>
    <w:locked/>
    <w:rsid w:val="00942BD6"/>
    <w:pPr>
      <w:keepNext/>
    </w:pPr>
    <w:rPr>
      <w:b/>
      <w:bCs/>
    </w:rPr>
  </w:style>
  <w:style w:type="character" w:styleId="Refdecomentario">
    <w:name w:val="annotation reference"/>
    <w:locked/>
    <w:rsid w:val="004B1E61"/>
    <w:rPr>
      <w:sz w:val="16"/>
      <w:szCs w:val="16"/>
    </w:rPr>
  </w:style>
  <w:style w:type="paragraph" w:styleId="Textocomentario">
    <w:name w:val="annotation text"/>
    <w:basedOn w:val="Normal"/>
    <w:link w:val="TextocomentarioCar"/>
    <w:locked/>
    <w:rsid w:val="004B1E61"/>
    <w:rPr>
      <w:szCs w:val="20"/>
    </w:rPr>
  </w:style>
  <w:style w:type="character" w:customStyle="1" w:styleId="TextocomentarioCar">
    <w:name w:val="Texto comentario Car"/>
    <w:link w:val="Textocomentario"/>
    <w:uiPriority w:val="99"/>
    <w:rsid w:val="004B1E61"/>
    <w:rPr>
      <w:rFonts w:ascii="Georgia" w:hAnsi="Georgia"/>
      <w:lang w:eastAsia="de-DE"/>
    </w:rPr>
  </w:style>
  <w:style w:type="paragraph" w:styleId="Asuntodelcomentario">
    <w:name w:val="annotation subject"/>
    <w:basedOn w:val="Textocomentario"/>
    <w:next w:val="Textocomentario"/>
    <w:link w:val="AsuntodelcomentarioCar"/>
    <w:locked/>
    <w:rsid w:val="004B1E61"/>
    <w:rPr>
      <w:b/>
      <w:bCs/>
    </w:rPr>
  </w:style>
  <w:style w:type="character" w:customStyle="1" w:styleId="AsuntodelcomentarioCar">
    <w:name w:val="Asunto del comentario Car"/>
    <w:link w:val="Asuntodelcomentario"/>
    <w:rsid w:val="004B1E61"/>
    <w:rPr>
      <w:rFonts w:ascii="Georgia" w:hAnsi="Georgia"/>
      <w:b/>
      <w:bCs/>
      <w:lang w:eastAsia="de-DE"/>
    </w:rPr>
  </w:style>
  <w:style w:type="paragraph" w:styleId="Textodeglobo">
    <w:name w:val="Balloon Text"/>
    <w:basedOn w:val="Normal"/>
    <w:link w:val="TextodegloboCar"/>
    <w:locked/>
    <w:rsid w:val="004B1E61"/>
    <w:rPr>
      <w:rFonts w:ascii="Tahoma" w:hAnsi="Tahoma" w:cs="Tahoma"/>
      <w:sz w:val="16"/>
      <w:szCs w:val="16"/>
    </w:rPr>
  </w:style>
  <w:style w:type="character" w:customStyle="1" w:styleId="TextodegloboCar">
    <w:name w:val="Texto de globo Car"/>
    <w:link w:val="Textodeglobo"/>
    <w:rsid w:val="004B1E61"/>
    <w:rPr>
      <w:rFonts w:ascii="Tahoma" w:hAnsi="Tahoma" w:cs="Tahoma"/>
      <w:sz w:val="16"/>
      <w:szCs w:val="16"/>
      <w:lang w:eastAsia="de-DE"/>
    </w:rPr>
  </w:style>
  <w:style w:type="paragraph" w:styleId="Prrafodelista">
    <w:name w:val="List Paragraph"/>
    <w:aliases w:val="Paragraphe EI,Paragraphe de liste1,EC,Paragraphe de liste"/>
    <w:basedOn w:val="Normal"/>
    <w:link w:val="PrrafodelistaCar"/>
    <w:uiPriority w:val="34"/>
    <w:qFormat/>
    <w:locked/>
    <w:rsid w:val="002A0C82"/>
    <w:pPr>
      <w:ind w:left="720"/>
      <w:contextualSpacing/>
    </w:pPr>
  </w:style>
  <w:style w:type="paragraph" w:styleId="TtuloTDC">
    <w:name w:val="TOC Heading"/>
    <w:basedOn w:val="Ttulo1"/>
    <w:next w:val="Normal"/>
    <w:uiPriority w:val="39"/>
    <w:unhideWhenUsed/>
    <w:qFormat/>
    <w:locked/>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locked/>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TextonotapieCar">
    <w:name w:val="Texto nota pie Car"/>
    <w:aliases w:val="Char3 Car, Char3 Car,Fußnotentextf Car,Fußnotentextr Car,stile 1 Car,Footnote1 Car,Footnote2 Car,Footnote3 Car,Footnote4 Car,Footnote5 Car,Footnote6 Car,Footnote7 Car,Footnote8 Car,Footnote9 Car,Footnote10 Car,Footnote11 Car"/>
    <w:link w:val="Textonotapie"/>
    <w:locked/>
    <w:rsid w:val="00D0272C"/>
    <w:rPr>
      <w:rFonts w:ascii="Georgia" w:hAnsi="Georgia"/>
      <w:sz w:val="16"/>
      <w:lang w:eastAsia="de-DE"/>
    </w:rPr>
  </w:style>
  <w:style w:type="paragraph" w:customStyle="1" w:styleId="DPpara">
    <w:name w:val="DP para"/>
    <w:basedOn w:val="04aNumeration"/>
    <w:link w:val="DPparaChar"/>
    <w:locked/>
    <w:rsid w:val="00D0272C"/>
    <w:pPr>
      <w:numPr>
        <w:numId w:val="6"/>
      </w:numPr>
    </w:pPr>
    <w:rPr>
      <w:szCs w:val="20"/>
    </w:rPr>
  </w:style>
  <w:style w:type="character" w:customStyle="1" w:styleId="DPparaChar">
    <w:name w:val="DP para Char"/>
    <w:link w:val="DPpara"/>
    <w:locked/>
    <w:rsid w:val="00D0272C"/>
    <w:rPr>
      <w:rFonts w:ascii="Arial" w:hAnsi="Arial"/>
      <w:lang w:val="fr-FR" w:eastAsia="de-DE"/>
    </w:rPr>
  </w:style>
  <w:style w:type="character" w:customStyle="1" w:styleId="CommentTextChar1">
    <w:name w:val="Comment Text Char1"/>
    <w:locked/>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locked/>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Fuentedeprrafopredeter"/>
    <w:locked/>
    <w:rsid w:val="008E1B6A"/>
  </w:style>
  <w:style w:type="paragraph" w:customStyle="1" w:styleId="ManualNumPar1">
    <w:name w:val="Manual NumPar 1"/>
    <w:basedOn w:val="Normal"/>
    <w:next w:val="Normal"/>
    <w:link w:val="ManualNumPar1Char"/>
    <w:uiPriority w:val="99"/>
    <w:locked/>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Ttulo1Car">
    <w:name w:val="Título 1 Car"/>
    <w:link w:val="Ttulo1"/>
    <w:rsid w:val="009E7724"/>
    <w:rPr>
      <w:rFonts w:ascii="Arial" w:hAnsi="Arial" w:cs="Arial"/>
      <w:b/>
      <w:bCs/>
      <w:kern w:val="32"/>
      <w:sz w:val="24"/>
      <w:szCs w:val="32"/>
      <w:lang w:eastAsia="de-DE"/>
    </w:rPr>
  </w:style>
  <w:style w:type="character" w:customStyle="1" w:styleId="Heading2Char">
    <w:name w:val="Heading 2 Char"/>
    <w:locked/>
    <w:rsid w:val="00DB4121"/>
    <w:rPr>
      <w:rFonts w:ascii="Georgia" w:hAnsi="Georgia" w:cs="Arial"/>
      <w:bCs/>
      <w:i/>
      <w:kern w:val="32"/>
      <w:szCs w:val="32"/>
      <w:lang w:eastAsia="de-DE"/>
    </w:rPr>
  </w:style>
  <w:style w:type="character" w:styleId="nfasis">
    <w:name w:val="Emphasis"/>
    <w:uiPriority w:val="20"/>
    <w:qFormat/>
    <w:locked/>
    <w:rsid w:val="005F028E"/>
    <w:rPr>
      <w:i/>
      <w:iCs/>
    </w:rPr>
  </w:style>
  <w:style w:type="paragraph" w:styleId="Revisin">
    <w:name w:val="Revision"/>
    <w:link w:val="RevisinCar"/>
    <w:hidden/>
    <w:uiPriority w:val="99"/>
    <w:semiHidden/>
    <w:rsid w:val="008E6A37"/>
    <w:rPr>
      <w:rFonts w:ascii="Georgia" w:hAnsi="Georgia"/>
      <w:sz w:val="22"/>
      <w:szCs w:val="24"/>
      <w:lang w:eastAsia="de-DE"/>
    </w:rPr>
  </w:style>
  <w:style w:type="paragraph" w:styleId="TDC3">
    <w:name w:val="toc 3"/>
    <w:basedOn w:val="Normal"/>
    <w:next w:val="Normal"/>
    <w:autoRedefine/>
    <w:uiPriority w:val="39"/>
    <w:qFormat/>
    <w:locked/>
    <w:rsid w:val="00463787"/>
    <w:pPr>
      <w:spacing w:after="100"/>
      <w:ind w:left="440"/>
    </w:pPr>
  </w:style>
  <w:style w:type="character" w:customStyle="1" w:styleId="SprechblasentextZeichen">
    <w:name w:val="Sprechblasentext Zeichen"/>
    <w:uiPriority w:val="99"/>
    <w:semiHidden/>
    <w:locked/>
    <w:rsid w:val="00F377CD"/>
    <w:rPr>
      <w:rFonts w:ascii="Lucida Grande" w:hAnsi="Lucida Grande"/>
      <w:sz w:val="18"/>
      <w:szCs w:val="18"/>
    </w:rPr>
  </w:style>
  <w:style w:type="paragraph" w:customStyle="1" w:styleId="CM3">
    <w:name w:val="CM3"/>
    <w:basedOn w:val="Normal"/>
    <w:next w:val="Normal"/>
    <w:uiPriority w:val="99"/>
    <w:locked/>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l"/>
    <w:next w:val="Normal"/>
    <w:uiPriority w:val="99"/>
    <w:locked/>
    <w:rsid w:val="00F377CD"/>
    <w:pPr>
      <w:autoSpaceDE w:val="0"/>
      <w:autoSpaceDN w:val="0"/>
      <w:adjustRightInd w:val="0"/>
    </w:pPr>
    <w:rPr>
      <w:rFonts w:ascii="EUAlbertina" w:eastAsia="Calibri" w:hAnsi="EUAlbertina"/>
      <w:sz w:val="24"/>
      <w:lang w:val="fr-FR" w:eastAsia="en-US"/>
    </w:rPr>
  </w:style>
  <w:style w:type="paragraph" w:styleId="TDC4">
    <w:name w:val="toc 4"/>
    <w:basedOn w:val="Normal"/>
    <w:next w:val="Normal"/>
    <w:autoRedefine/>
    <w:uiPriority w:val="39"/>
    <w:unhideWhenUsed/>
    <w:locked/>
    <w:rsid w:val="00F377CD"/>
    <w:pPr>
      <w:spacing w:after="100" w:line="276" w:lineRule="auto"/>
      <w:ind w:left="660"/>
    </w:pPr>
    <w:rPr>
      <w:rFonts w:ascii="Calibri" w:hAnsi="Calibri"/>
      <w:szCs w:val="22"/>
      <w:lang w:eastAsia="en-GB"/>
    </w:rPr>
  </w:style>
  <w:style w:type="paragraph" w:styleId="TDC5">
    <w:name w:val="toc 5"/>
    <w:basedOn w:val="Normal"/>
    <w:next w:val="Normal"/>
    <w:autoRedefine/>
    <w:uiPriority w:val="39"/>
    <w:unhideWhenUsed/>
    <w:locked/>
    <w:rsid w:val="00F377CD"/>
    <w:pPr>
      <w:spacing w:after="100" w:line="276" w:lineRule="auto"/>
      <w:ind w:left="880"/>
    </w:pPr>
    <w:rPr>
      <w:rFonts w:ascii="Calibri" w:hAnsi="Calibri"/>
      <w:szCs w:val="22"/>
      <w:lang w:eastAsia="en-GB"/>
    </w:rPr>
  </w:style>
  <w:style w:type="paragraph" w:styleId="TDC6">
    <w:name w:val="toc 6"/>
    <w:basedOn w:val="Normal"/>
    <w:next w:val="Normal"/>
    <w:autoRedefine/>
    <w:uiPriority w:val="39"/>
    <w:unhideWhenUsed/>
    <w:locked/>
    <w:rsid w:val="00F377CD"/>
    <w:pPr>
      <w:spacing w:after="100" w:line="276" w:lineRule="auto"/>
      <w:ind w:left="1100"/>
    </w:pPr>
    <w:rPr>
      <w:rFonts w:ascii="Calibri" w:hAnsi="Calibri"/>
      <w:szCs w:val="22"/>
      <w:lang w:eastAsia="en-GB"/>
    </w:rPr>
  </w:style>
  <w:style w:type="paragraph" w:styleId="TDC7">
    <w:name w:val="toc 7"/>
    <w:basedOn w:val="Normal"/>
    <w:next w:val="Normal"/>
    <w:autoRedefine/>
    <w:uiPriority w:val="39"/>
    <w:unhideWhenUsed/>
    <w:locked/>
    <w:rsid w:val="00F377CD"/>
    <w:pPr>
      <w:spacing w:after="100" w:line="276" w:lineRule="auto"/>
      <w:ind w:left="1320"/>
    </w:pPr>
    <w:rPr>
      <w:rFonts w:ascii="Calibri" w:hAnsi="Calibri"/>
      <w:szCs w:val="22"/>
      <w:lang w:eastAsia="en-GB"/>
    </w:rPr>
  </w:style>
  <w:style w:type="paragraph" w:styleId="TDC8">
    <w:name w:val="toc 8"/>
    <w:basedOn w:val="Normal"/>
    <w:next w:val="Normal"/>
    <w:autoRedefine/>
    <w:uiPriority w:val="39"/>
    <w:unhideWhenUsed/>
    <w:locked/>
    <w:rsid w:val="00F377CD"/>
    <w:pPr>
      <w:spacing w:after="100" w:line="276" w:lineRule="auto"/>
      <w:ind w:left="1540"/>
    </w:pPr>
    <w:rPr>
      <w:rFonts w:ascii="Calibri" w:hAnsi="Calibri"/>
      <w:szCs w:val="22"/>
      <w:lang w:eastAsia="en-GB"/>
    </w:rPr>
  </w:style>
  <w:style w:type="paragraph" w:styleId="TDC9">
    <w:name w:val="toc 9"/>
    <w:basedOn w:val="Normal"/>
    <w:next w:val="Normal"/>
    <w:autoRedefine/>
    <w:uiPriority w:val="39"/>
    <w:unhideWhenUsed/>
    <w:lock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locked/>
    <w:rsid w:val="00F377CD"/>
    <w:rPr>
      <w:b/>
      <w:bCs/>
      <w:color w:val="FFFFFF"/>
      <w:spacing w:val="0"/>
      <w:u w:val="single"/>
    </w:rPr>
  </w:style>
  <w:style w:type="paragraph" w:styleId="Descripcin">
    <w:name w:val="caption"/>
    <w:basedOn w:val="Normal"/>
    <w:next w:val="Normal"/>
    <w:unhideWhenUsed/>
    <w:qFormat/>
    <w:locked/>
    <w:rsid w:val="00E21407"/>
    <w:pPr>
      <w:spacing w:after="200"/>
    </w:pPr>
    <w:rPr>
      <w:b/>
      <w:bCs/>
      <w:sz w:val="18"/>
      <w:szCs w:val="18"/>
    </w:rPr>
  </w:style>
  <w:style w:type="character" w:customStyle="1" w:styleId="Heading5Char">
    <w:name w:val="Heading 5 Char"/>
    <w:uiPriority w:val="9"/>
    <w:locked/>
    <w:rsid w:val="00251EA9"/>
    <w:rPr>
      <w:rFonts w:ascii="Georgia" w:eastAsia="Times New Roman" w:hAnsi="Georgia" w:cs="Times New Roman"/>
      <w:b/>
      <w:szCs w:val="24"/>
      <w:lang w:eastAsia="de-DE"/>
    </w:rPr>
  </w:style>
  <w:style w:type="paragraph" w:styleId="NormalWeb">
    <w:name w:val="Normal (Web)"/>
    <w:basedOn w:val="Normal"/>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locked/>
    <w:rsid w:val="00BF1620"/>
    <w:rPr>
      <w:rFonts w:ascii="Georgia" w:hAnsi="Georgia"/>
      <w:b/>
      <w:bCs/>
      <w:iCs/>
      <w:szCs w:val="26"/>
      <w:lang w:eastAsia="de-DE"/>
    </w:rPr>
  </w:style>
  <w:style w:type="paragraph" w:styleId="Mapadeldocumento">
    <w:name w:val="Document Map"/>
    <w:basedOn w:val="Normal"/>
    <w:link w:val="MapadeldocumentoCar"/>
    <w:locked/>
    <w:rsid w:val="00AA016B"/>
    <w:rPr>
      <w:rFonts w:ascii="Tahoma" w:hAnsi="Tahoma" w:cs="Tahoma"/>
      <w:sz w:val="16"/>
      <w:szCs w:val="16"/>
    </w:rPr>
  </w:style>
  <w:style w:type="character" w:customStyle="1" w:styleId="MapadeldocumentoCar">
    <w:name w:val="Mapa del documento Car"/>
    <w:link w:val="Mapadeldocumento"/>
    <w:rsid w:val="00AA016B"/>
    <w:rPr>
      <w:rFonts w:ascii="Tahoma" w:hAnsi="Tahoma" w:cs="Tahoma"/>
      <w:sz w:val="16"/>
      <w:szCs w:val="16"/>
      <w:lang w:eastAsia="de-DE"/>
    </w:rPr>
  </w:style>
  <w:style w:type="paragraph" w:styleId="Textosinformato">
    <w:name w:val="Plain Text"/>
    <w:basedOn w:val="Normal"/>
    <w:link w:val="TextosinformatoCar"/>
    <w:unhideWhenUsed/>
    <w:locked/>
    <w:rsid w:val="00AA016B"/>
    <w:rPr>
      <w:rFonts w:ascii="Consolas" w:hAnsi="Consolas"/>
      <w:sz w:val="21"/>
      <w:szCs w:val="21"/>
      <w:lang w:val="de-DE"/>
    </w:rPr>
  </w:style>
  <w:style w:type="character" w:customStyle="1" w:styleId="TextosinformatoCar">
    <w:name w:val="Texto sin formato Car"/>
    <w:link w:val="Textosinformato"/>
    <w:rsid w:val="00AA016B"/>
    <w:rPr>
      <w:rFonts w:ascii="Consolas" w:hAnsi="Consolas"/>
      <w:sz w:val="21"/>
      <w:szCs w:val="21"/>
      <w:lang w:val="de-DE" w:eastAsia="de-DE"/>
    </w:rPr>
  </w:style>
  <w:style w:type="paragraph" w:styleId="Textoindependiente">
    <w:name w:val="Body Text"/>
    <w:basedOn w:val="Normal"/>
    <w:link w:val="TextoindependienteCar"/>
    <w:unhideWhenUsed/>
    <w:locked/>
    <w:rsid w:val="00AA016B"/>
    <w:pPr>
      <w:numPr>
        <w:numId w:val="8"/>
      </w:numPr>
      <w:spacing w:after="240"/>
      <w:jc w:val="both"/>
    </w:pPr>
    <w:rPr>
      <w:rFonts w:ascii="Times New Roman" w:hAnsi="Times New Roman"/>
      <w:sz w:val="24"/>
      <w:szCs w:val="20"/>
      <w:lang w:eastAsia="en-GB"/>
    </w:rPr>
  </w:style>
  <w:style w:type="character" w:customStyle="1" w:styleId="TextoindependienteCar">
    <w:name w:val="Texto independiente Car"/>
    <w:link w:val="Textoindependiente"/>
    <w:rsid w:val="00AA016B"/>
    <w:rPr>
      <w:sz w:val="24"/>
    </w:rPr>
  </w:style>
  <w:style w:type="paragraph" w:customStyle="1" w:styleId="ListParagraph1">
    <w:name w:val="List Paragraph1"/>
    <w:basedOn w:val="Normal"/>
    <w:qFormat/>
    <w:locked/>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locked/>
    <w:rsid w:val="003E68C7"/>
    <w:rPr>
      <w:rFonts w:ascii="Georgia" w:eastAsia="Times New Roman" w:hAnsi="Georgia" w:cs="Times New Roman"/>
      <w:b/>
      <w:szCs w:val="24"/>
      <w:lang w:eastAsia="de-DE"/>
    </w:rPr>
  </w:style>
  <w:style w:type="character" w:styleId="Textoennegrita">
    <w:name w:val="Strong"/>
    <w:aliases w:val="Bolded"/>
    <w:qFormat/>
    <w:locked/>
    <w:rsid w:val="00974881"/>
    <w:rPr>
      <w:b/>
      <w:bCs/>
    </w:rPr>
  </w:style>
  <w:style w:type="character" w:customStyle="1" w:styleId="Strong1">
    <w:name w:val="Strong1"/>
    <w:qFormat/>
    <w:locked/>
    <w:rsid w:val="00974881"/>
    <w:rPr>
      <w:b/>
      <w:bCs/>
    </w:rPr>
  </w:style>
  <w:style w:type="character" w:customStyle="1" w:styleId="Strong2">
    <w:name w:val="Strong2"/>
    <w:qFormat/>
    <w:locked/>
    <w:rsid w:val="00974881"/>
    <w:rPr>
      <w:b/>
      <w:bCs/>
    </w:rPr>
  </w:style>
  <w:style w:type="character" w:customStyle="1" w:styleId="Heading5Char3">
    <w:name w:val="Heading 5 Char3"/>
    <w:locked/>
    <w:rsid w:val="00FC318D"/>
    <w:rPr>
      <w:rFonts w:ascii="Georgia" w:eastAsia="Times New Roman" w:hAnsi="Georgia" w:cs="Times New Roman"/>
      <w:b/>
      <w:szCs w:val="24"/>
      <w:lang w:eastAsia="de-DE"/>
    </w:rPr>
  </w:style>
  <w:style w:type="character" w:customStyle="1" w:styleId="Heading5Char4">
    <w:name w:val="Heading 5 Char4"/>
    <w:locked/>
    <w:rsid w:val="002B4ED8"/>
    <w:rPr>
      <w:rFonts w:ascii="Georgia" w:eastAsia="Times New Roman" w:hAnsi="Georgia" w:cs="Times New Roman"/>
      <w:b/>
      <w:szCs w:val="24"/>
      <w:lang w:eastAsia="de-DE"/>
    </w:rPr>
  </w:style>
  <w:style w:type="character" w:customStyle="1" w:styleId="Heading2Char1">
    <w:name w:val="Heading 2 Char1"/>
    <w:locked/>
    <w:rsid w:val="00885E6F"/>
    <w:rPr>
      <w:rFonts w:ascii="Georgia" w:eastAsia="Times New Roman" w:hAnsi="Georgia" w:cs="Times New Roman"/>
      <w:b/>
      <w:bCs/>
      <w:sz w:val="22"/>
      <w:szCs w:val="26"/>
      <w:lang w:eastAsia="de-DE"/>
    </w:rPr>
  </w:style>
  <w:style w:type="character" w:customStyle="1" w:styleId="Heading3Char">
    <w:name w:val="Heading 3 Char"/>
    <w:locked/>
    <w:rsid w:val="00865B01"/>
    <w:rPr>
      <w:rFonts w:ascii="Georgia" w:eastAsia="Times New Roman" w:hAnsi="Georgia" w:cs="Times New Roman"/>
      <w:b/>
      <w:sz w:val="22"/>
      <w:szCs w:val="26"/>
      <w:lang w:eastAsia="de-DE"/>
    </w:rPr>
  </w:style>
  <w:style w:type="character" w:customStyle="1" w:styleId="Heading5Char5">
    <w:name w:val="Heading 5 Char5"/>
    <w:locked/>
    <w:rsid w:val="0041634D"/>
    <w:rPr>
      <w:rFonts w:ascii="Georgia" w:eastAsia="Times New Roman" w:hAnsi="Georgia" w:cs="Times New Roman"/>
      <w:b/>
      <w:szCs w:val="24"/>
      <w:lang w:eastAsia="de-DE"/>
    </w:rPr>
  </w:style>
  <w:style w:type="character" w:customStyle="1" w:styleId="Ttulo2Car">
    <w:name w:val="Título 2 Car"/>
    <w:link w:val="Ttulo2"/>
    <w:rsid w:val="00886A60"/>
    <w:rPr>
      <w:rFonts w:ascii="Georgia" w:eastAsia="Times New Roman" w:hAnsi="Georgia" w:cs="Times New Roman"/>
      <w:b/>
      <w:bCs/>
      <w:sz w:val="22"/>
      <w:szCs w:val="26"/>
      <w:lang w:eastAsia="de-DE"/>
    </w:rPr>
  </w:style>
  <w:style w:type="character" w:customStyle="1" w:styleId="Strong3">
    <w:name w:val="Strong3"/>
    <w:qFormat/>
    <w:locked/>
    <w:rsid w:val="00974881"/>
    <w:rPr>
      <w:b/>
      <w:bCs/>
    </w:rPr>
  </w:style>
  <w:style w:type="character" w:customStyle="1" w:styleId="Heading5Char6">
    <w:name w:val="Heading 5 Char6"/>
    <w:locked/>
    <w:rsid w:val="00C36FD1"/>
    <w:rPr>
      <w:rFonts w:ascii="Georgia" w:eastAsia="Times New Roman" w:hAnsi="Georgia" w:cs="Times New Roman"/>
      <w:b/>
      <w:szCs w:val="24"/>
      <w:lang w:eastAsia="de-DE"/>
    </w:rPr>
  </w:style>
  <w:style w:type="character" w:customStyle="1" w:styleId="Heading4Char">
    <w:name w:val="Heading 4 Char"/>
    <w:locked/>
    <w:rsid w:val="007805B9"/>
    <w:rPr>
      <w:rFonts w:ascii="Georgia" w:eastAsia="Times New Roman" w:hAnsi="Georgia" w:cs="Times New Roman"/>
      <w:b/>
      <w:i/>
      <w:szCs w:val="28"/>
      <w:lang w:eastAsia="de-DE"/>
    </w:rPr>
  </w:style>
  <w:style w:type="character" w:customStyle="1" w:styleId="Ttulo9Car">
    <w:name w:val="Título 9 Car"/>
    <w:link w:val="Ttulo9"/>
    <w:rsid w:val="00A06867"/>
    <w:rPr>
      <w:rFonts w:ascii="Arial" w:hAnsi="Arial" w:cs="Arial"/>
      <w:sz w:val="22"/>
      <w:szCs w:val="22"/>
      <w:lang w:eastAsia="de-DE"/>
    </w:rPr>
  </w:style>
  <w:style w:type="character" w:customStyle="1" w:styleId="italic1">
    <w:name w:val="italic1"/>
    <w:uiPriority w:val="99"/>
    <w:locked/>
    <w:rsid w:val="00A06867"/>
    <w:rPr>
      <w:rFonts w:cs="Times New Roman"/>
      <w:i/>
      <w:iCs/>
    </w:rPr>
  </w:style>
  <w:style w:type="paragraph" w:customStyle="1" w:styleId="5Normal">
    <w:name w:val="5 Normal"/>
    <w:basedOn w:val="Normal"/>
    <w:link w:val="5NormalChar"/>
    <w:locked/>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locked/>
    <w:rsid w:val="00A06867"/>
    <w:rPr>
      <w:rFonts w:ascii="Georgia" w:eastAsia="Times New Roman" w:hAnsi="Georgia" w:cs="Times New Roman"/>
      <w:b/>
      <w:szCs w:val="24"/>
      <w:lang w:eastAsia="de-DE"/>
    </w:rPr>
  </w:style>
  <w:style w:type="character" w:customStyle="1" w:styleId="Heading5Char8">
    <w:name w:val="Heading 5 Char8"/>
    <w:aliases w:val="Questions Char1"/>
    <w:locked/>
    <w:rsid w:val="00BF114B"/>
    <w:rPr>
      <w:rFonts w:ascii="Georgia" w:eastAsia="Times New Roman" w:hAnsi="Georgia" w:cs="Times New Roman"/>
      <w:b/>
      <w:szCs w:val="24"/>
      <w:lang w:eastAsia="de-DE"/>
    </w:rPr>
  </w:style>
  <w:style w:type="character" w:customStyle="1" w:styleId="Ttulo7Car">
    <w:name w:val="Título 7 Car"/>
    <w:link w:val="Ttulo7"/>
    <w:rsid w:val="002D6E1A"/>
    <w:rPr>
      <w:sz w:val="22"/>
      <w:szCs w:val="24"/>
      <w:lang w:eastAsia="de-DE"/>
    </w:rPr>
  </w:style>
  <w:style w:type="character" w:customStyle="1" w:styleId="Ttulo6Car">
    <w:name w:val="Título 6 Car"/>
    <w:link w:val="Ttulo6"/>
    <w:rsid w:val="002D6E1A"/>
    <w:rPr>
      <w:b/>
      <w:bCs/>
      <w:szCs w:val="22"/>
      <w:lang w:eastAsia="de-DE"/>
    </w:rPr>
  </w:style>
  <w:style w:type="character" w:customStyle="1" w:styleId="Ttulo8Car">
    <w:name w:val="Título 8 Car"/>
    <w:link w:val="Ttulo8"/>
    <w:rsid w:val="002D6E1A"/>
    <w:rPr>
      <w:i/>
      <w:iCs/>
      <w:szCs w:val="24"/>
      <w:lang w:eastAsia="de-DE"/>
    </w:rPr>
  </w:style>
  <w:style w:type="numbering" w:customStyle="1" w:styleId="NoList1">
    <w:name w:val="No List1"/>
    <w:next w:val="Sinlista"/>
    <w:uiPriority w:val="99"/>
    <w:semiHidden/>
    <w:unhideWhenUsed/>
    <w:locked/>
    <w:rsid w:val="002D6E1A"/>
  </w:style>
  <w:style w:type="character" w:styleId="Hipervnculovisitado">
    <w:name w:val="FollowedHyperlink"/>
    <w:unhideWhenUsed/>
    <w:locked/>
    <w:rsid w:val="002D6E1A"/>
    <w:rPr>
      <w:color w:val="800080"/>
      <w:u w:val="single"/>
    </w:rPr>
  </w:style>
  <w:style w:type="character" w:customStyle="1" w:styleId="EncabezadoCar">
    <w:name w:val="Encabezado Car"/>
    <w:link w:val="Encabezado"/>
    <w:rsid w:val="002D6E1A"/>
    <w:rPr>
      <w:rFonts w:ascii="Georgia" w:hAnsi="Georgia"/>
      <w:sz w:val="22"/>
      <w:szCs w:val="24"/>
      <w:lang w:eastAsia="de-DE"/>
    </w:rPr>
  </w:style>
  <w:style w:type="character" w:customStyle="1" w:styleId="PiedepginaCar">
    <w:name w:val="Pie de página Car"/>
    <w:link w:val="Piedepgina"/>
    <w:uiPriority w:val="99"/>
    <w:rsid w:val="002D6E1A"/>
    <w:rPr>
      <w:rFonts w:ascii="Georgia" w:hAnsi="Georgia"/>
      <w:sz w:val="22"/>
      <w:szCs w:val="24"/>
      <w:lang w:eastAsia="de-DE"/>
    </w:rPr>
  </w:style>
  <w:style w:type="paragraph" w:styleId="Textonotaalfinal">
    <w:name w:val="endnote text"/>
    <w:basedOn w:val="Normal"/>
    <w:link w:val="TextonotaalfinalCar"/>
    <w:unhideWhenUsed/>
    <w:locked/>
    <w:rsid w:val="002D6E1A"/>
    <w:rPr>
      <w:szCs w:val="20"/>
    </w:rPr>
  </w:style>
  <w:style w:type="character" w:customStyle="1" w:styleId="TextonotaalfinalCar">
    <w:name w:val="Texto nota al final Car"/>
    <w:link w:val="Textonotaalfinal"/>
    <w:rsid w:val="002D6E1A"/>
    <w:rPr>
      <w:rFonts w:ascii="Georgia" w:hAnsi="Georgia"/>
      <w:lang w:eastAsia="de-DE"/>
    </w:rPr>
  </w:style>
  <w:style w:type="paragraph" w:styleId="Listaconnmeros">
    <w:name w:val="List Number"/>
    <w:basedOn w:val="Normal"/>
    <w:unhideWhenUsed/>
    <w:locked/>
    <w:rsid w:val="002D6E1A"/>
    <w:pPr>
      <w:numPr>
        <w:numId w:val="9"/>
      </w:numPr>
      <w:spacing w:before="120" w:after="120"/>
      <w:ind w:left="360" w:hanging="360"/>
      <w:jc w:val="both"/>
    </w:pPr>
    <w:rPr>
      <w:rFonts w:ascii="Times New Roman" w:hAnsi="Times New Roman"/>
      <w:sz w:val="24"/>
      <w:lang w:eastAsia="en-US"/>
    </w:rPr>
  </w:style>
  <w:style w:type="character" w:customStyle="1" w:styleId="PrrafodelistaCar">
    <w:name w:val="Párrafo de lista Car"/>
    <w:aliases w:val="Paragraphe EI Car,Paragraphe de liste1 Car,EC Car,Paragraphe de liste Car"/>
    <w:link w:val="Prrafodelista"/>
    <w:uiPriority w:val="34"/>
    <w:locked/>
    <w:rsid w:val="002D6E1A"/>
    <w:rPr>
      <w:rFonts w:ascii="Georgia" w:hAnsi="Georgia"/>
      <w:sz w:val="22"/>
      <w:szCs w:val="24"/>
      <w:lang w:eastAsia="de-DE"/>
    </w:rPr>
  </w:style>
  <w:style w:type="paragraph" w:customStyle="1" w:styleId="04anumbering0">
    <w:name w:val="04anumbering"/>
    <w:basedOn w:val="Normal"/>
    <w:locked/>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l"/>
    <w:locked/>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Prrafodelista"/>
    <w:link w:val="DPChar"/>
    <w:qFormat/>
    <w:locked/>
    <w:rsid w:val="002D6E1A"/>
    <w:pPr>
      <w:ind w:left="708"/>
      <w:contextualSpacing w:val="0"/>
      <w:jc w:val="both"/>
    </w:pPr>
    <w:rPr>
      <w:b/>
      <w:szCs w:val="20"/>
      <w:u w:val="single"/>
    </w:rPr>
  </w:style>
  <w:style w:type="paragraph" w:customStyle="1" w:styleId="Bullet">
    <w:name w:val="Bullet"/>
    <w:basedOn w:val="Normal"/>
    <w:locked/>
    <w:rsid w:val="002D6E1A"/>
    <w:pPr>
      <w:numPr>
        <w:numId w:val="11"/>
      </w:numPr>
      <w:tabs>
        <w:tab w:val="left" w:pos="708"/>
      </w:tabs>
      <w:spacing w:before="120" w:after="120" w:line="276" w:lineRule="auto"/>
      <w:jc w:val="both"/>
    </w:pPr>
    <w:rPr>
      <w:szCs w:val="20"/>
      <w:lang w:eastAsia="en-GB"/>
    </w:rPr>
  </w:style>
  <w:style w:type="character" w:styleId="Refdenotaalfinal">
    <w:name w:val="endnote reference"/>
    <w:unhideWhenUsed/>
    <w:locked/>
    <w:rsid w:val="002D6E1A"/>
    <w:rPr>
      <w:vertAlign w:val="superscript"/>
    </w:rPr>
  </w:style>
  <w:style w:type="character" w:styleId="Textodelmarcadordeposicin">
    <w:name w:val="Placeholder Text"/>
    <w:uiPriority w:val="99"/>
    <w:semiHidden/>
    <w:locked/>
    <w:rsid w:val="002D6E1A"/>
    <w:rPr>
      <w:color w:val="808080"/>
    </w:rPr>
  </w:style>
  <w:style w:type="character" w:customStyle="1" w:styleId="apple-converted-space">
    <w:name w:val="apple-converted-space"/>
    <w:locked/>
    <w:rsid w:val="002D6E1A"/>
  </w:style>
  <w:style w:type="table" w:customStyle="1" w:styleId="TableGrid1">
    <w:name w:val="Table Grid1"/>
    <w:basedOn w:val="Tablanormal"/>
    <w:uiPriority w:val="39"/>
    <w:locked/>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Sinlista"/>
    <w:uiPriority w:val="99"/>
    <w:semiHidden/>
    <w:unhideWhenUsed/>
    <w:locked/>
    <w:rsid w:val="002D6E1A"/>
  </w:style>
  <w:style w:type="paragraph" w:customStyle="1" w:styleId="AutoCorrect">
    <w:name w:val="AutoCorrect"/>
    <w:locked/>
    <w:rsid w:val="002D6E1A"/>
    <w:pPr>
      <w:spacing w:after="200" w:line="276" w:lineRule="auto"/>
    </w:pPr>
    <w:rPr>
      <w:rFonts w:ascii="Calibri" w:hAnsi="Calibri"/>
      <w:sz w:val="22"/>
      <w:szCs w:val="22"/>
      <w:lang w:val="en-US" w:eastAsia="en-US"/>
    </w:rPr>
  </w:style>
  <w:style w:type="character" w:styleId="Nmerodelnea">
    <w:name w:val="line number"/>
    <w:basedOn w:val="Fuentedeprrafopredeter"/>
    <w:uiPriority w:val="99"/>
    <w:unhideWhenUsed/>
    <w:locked/>
    <w:rsid w:val="00952F2C"/>
  </w:style>
  <w:style w:type="paragraph" w:customStyle="1" w:styleId="aStyle">
    <w:name w:val="a) Style"/>
    <w:basedOn w:val="Normal"/>
    <w:qFormat/>
    <w:locked/>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Descripcin"/>
    <w:link w:val="AnwerChar"/>
    <w:qFormat/>
    <w:locked/>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locked/>
    <w:rsid w:val="004C3DAB"/>
    <w:rPr>
      <w:rFonts w:ascii="Georgia" w:eastAsia="Times New Roman" w:hAnsi="Georgia" w:cs="Times New Roman"/>
      <w:b/>
      <w:szCs w:val="24"/>
      <w:lang w:eastAsia="de-DE"/>
    </w:rPr>
  </w:style>
  <w:style w:type="character" w:customStyle="1" w:styleId="Heading5Char10">
    <w:name w:val="Heading 5 Char10"/>
    <w:aliases w:val="Questions Char3"/>
    <w:locked/>
    <w:rsid w:val="00256DFE"/>
    <w:rPr>
      <w:rFonts w:ascii="Georgia" w:eastAsia="Times New Roman" w:hAnsi="Georgia" w:cs="Times New Roman"/>
      <w:b/>
      <w:szCs w:val="24"/>
      <w:lang w:eastAsia="de-DE"/>
    </w:rPr>
  </w:style>
  <w:style w:type="character" w:customStyle="1" w:styleId="Heading5Char11">
    <w:name w:val="Heading 5 Char11"/>
    <w:aliases w:val="Questions Char4"/>
    <w:locked/>
    <w:rsid w:val="00903EBE"/>
    <w:rPr>
      <w:rFonts w:ascii="Georgia" w:eastAsia="Times New Roman" w:hAnsi="Georgia" w:cs="Times New Roman"/>
      <w:b/>
      <w:szCs w:val="24"/>
      <w:lang w:eastAsia="de-DE"/>
    </w:rPr>
  </w:style>
  <w:style w:type="character" w:customStyle="1" w:styleId="Heading3Char1">
    <w:name w:val="Heading 3 Char1"/>
    <w:locked/>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locked/>
    <w:rsid w:val="003D6780"/>
    <w:rPr>
      <w:rFonts w:ascii="Georgia" w:eastAsia="Times New Roman" w:hAnsi="Georgia" w:cs="Times New Roman"/>
      <w:b/>
      <w:szCs w:val="24"/>
      <w:lang w:eastAsia="de-DE"/>
    </w:rPr>
  </w:style>
  <w:style w:type="character" w:customStyle="1" w:styleId="Heading5Char13">
    <w:name w:val="Heading 5 Char13"/>
    <w:aliases w:val="Questions Char6"/>
    <w:locked/>
    <w:rsid w:val="00704D25"/>
    <w:rPr>
      <w:rFonts w:ascii="Georgia" w:eastAsia="Times New Roman" w:hAnsi="Georgia" w:cs="Times New Roman"/>
      <w:b/>
      <w:szCs w:val="24"/>
      <w:lang w:eastAsia="de-DE"/>
    </w:rPr>
  </w:style>
  <w:style w:type="character" w:customStyle="1" w:styleId="Strong4">
    <w:name w:val="Strong4"/>
    <w:uiPriority w:val="22"/>
    <w:qFormat/>
    <w:locked/>
    <w:rsid w:val="00974881"/>
    <w:rPr>
      <w:b/>
      <w:bCs/>
    </w:rPr>
  </w:style>
  <w:style w:type="character" w:customStyle="1" w:styleId="Ttulo5Car">
    <w:name w:val="Título 5 Car"/>
    <w:aliases w:val="Questions Car"/>
    <w:link w:val="Ttulo5"/>
    <w:uiPriority w:val="9"/>
    <w:rsid w:val="00E9344E"/>
    <w:rPr>
      <w:rFonts w:ascii="Arial" w:hAnsi="Arial"/>
      <w:b/>
      <w:szCs w:val="24"/>
      <w:lang w:eastAsia="de-DE"/>
    </w:rPr>
  </w:style>
  <w:style w:type="character" w:customStyle="1" w:styleId="Ttulo3Car">
    <w:name w:val="Título 3 Car"/>
    <w:link w:val="Ttulo3"/>
    <w:rsid w:val="003865E5"/>
    <w:rPr>
      <w:rFonts w:ascii="Cambria" w:eastAsia="Times New Roman" w:hAnsi="Cambria" w:cs="Times New Roman"/>
      <w:b/>
      <w:bCs/>
      <w:color w:val="4F81BD"/>
      <w:sz w:val="22"/>
      <w:szCs w:val="24"/>
      <w:lang w:eastAsia="de-DE"/>
    </w:rPr>
  </w:style>
  <w:style w:type="character" w:customStyle="1" w:styleId="Ttulo4Car">
    <w:name w:val="Título 4 Car"/>
    <w:link w:val="Ttulo4"/>
    <w:rsid w:val="00CB7286"/>
    <w:rPr>
      <w:b/>
      <w:bCs/>
      <w:sz w:val="28"/>
      <w:szCs w:val="28"/>
      <w:lang w:eastAsia="de-DE"/>
    </w:rPr>
  </w:style>
  <w:style w:type="table" w:styleId="Listaclara-nfasis3">
    <w:name w:val="Light List Accent 3"/>
    <w:basedOn w:val="Tablanormal"/>
    <w:uiPriority w:val="61"/>
    <w:locked/>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Tablanormal"/>
    <w:uiPriority w:val="63"/>
    <w:locked/>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locked/>
    <w:rsid w:val="000D2D0B"/>
    <w:rPr>
      <w:rFonts w:ascii="Tahoma" w:hAnsi="Tahoma" w:cs="Tahoma"/>
      <w:sz w:val="16"/>
      <w:szCs w:val="16"/>
      <w:lang w:val="en-GB" w:eastAsia="en-GB"/>
    </w:rPr>
  </w:style>
  <w:style w:type="character" w:customStyle="1" w:styleId="31TextobasenotadeprensaCNMVCar">
    <w:name w:val="3.1. Texto base nota de prensa CNMV Car"/>
    <w:locked/>
    <w:rsid w:val="000D2D0B"/>
    <w:rPr>
      <w:rFonts w:ascii="Celeste" w:hAnsi="Celeste" w:cs="Times New Roman"/>
      <w:sz w:val="22"/>
      <w:lang w:val="es-ES" w:eastAsia="es-ES" w:bidi="ar-SA"/>
    </w:rPr>
  </w:style>
  <w:style w:type="paragraph" w:customStyle="1" w:styleId="01Title">
    <w:name w:val="01_Title"/>
    <w:basedOn w:val="Normal"/>
    <w:locked/>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l"/>
    <w:link w:val="04RunningTextChar"/>
    <w:locked/>
    <w:rsid w:val="000D2D0B"/>
    <w:pPr>
      <w:spacing w:after="250" w:line="276" w:lineRule="auto"/>
      <w:ind w:left="397" w:hanging="397"/>
      <w:jc w:val="both"/>
    </w:pPr>
    <w:rPr>
      <w:lang w:val="x-none"/>
    </w:rPr>
  </w:style>
  <w:style w:type="paragraph" w:customStyle="1" w:styleId="04bListing">
    <w:name w:val="04b_Listing"/>
    <w:basedOn w:val="04RunningText"/>
    <w:locked/>
    <w:rsid w:val="000D2D0B"/>
    <w:pPr>
      <w:tabs>
        <w:tab w:val="num" w:pos="568"/>
      </w:tabs>
      <w:ind w:left="568" w:hanging="284"/>
    </w:pPr>
  </w:style>
  <w:style w:type="paragraph" w:customStyle="1" w:styleId="04cRunningtextleft">
    <w:name w:val="04c_Running text left"/>
    <w:basedOn w:val="04RunningText"/>
    <w:locked/>
    <w:rsid w:val="000D2D0B"/>
    <w:pPr>
      <w:spacing w:after="0"/>
      <w:jc w:val="left"/>
    </w:pPr>
  </w:style>
  <w:style w:type="paragraph" w:customStyle="1" w:styleId="05bHeadline3">
    <w:name w:val="05b_Headline 3"/>
    <w:basedOn w:val="Ttulo2"/>
    <w:locked/>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locked/>
    <w:rsid w:val="000D2D0B"/>
    <w:rPr>
      <w:rFonts w:ascii="Courier New" w:hAnsi="Courier New" w:cs="Courier New"/>
    </w:rPr>
  </w:style>
  <w:style w:type="paragraph" w:customStyle="1" w:styleId="TOCHeading1">
    <w:name w:val="TOC Heading1"/>
    <w:basedOn w:val="Ttulo1"/>
    <w:next w:val="Normal"/>
    <w:unhideWhenUsed/>
    <w:qFormat/>
    <w:locked/>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locked/>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
    <w:locked/>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l"/>
    <w:locked/>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l"/>
    <w:locked/>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l"/>
    <w:locked/>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Normal"/>
    <w:next w:val="Normal"/>
    <w:locked/>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l"/>
    <w:locked/>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locked/>
    <w:rsid w:val="000D2D0B"/>
    <w:rPr>
      <w:rFonts w:cs="Times New Roman"/>
    </w:rPr>
  </w:style>
  <w:style w:type="paragraph" w:customStyle="1" w:styleId="Normal12Hanging">
    <w:name w:val="Normal12Hanging"/>
    <w:basedOn w:val="Normal"/>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l"/>
    <w:rsid w:val="000D2D0B"/>
    <w:rPr>
      <w:szCs w:val="20"/>
    </w:rPr>
  </w:style>
  <w:style w:type="paragraph" w:customStyle="1" w:styleId="Sbuchead">
    <w:name w:val="Sbuchead"/>
    <w:basedOn w:val="Normal"/>
    <w:locked/>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l"/>
    <w:next w:val="Fait"/>
    <w:locked/>
    <w:rsid w:val="000D2D0B"/>
    <w:pPr>
      <w:spacing w:before="480" w:after="120"/>
      <w:jc w:val="both"/>
    </w:pPr>
    <w:rPr>
      <w:rFonts w:ascii="Times New Roman" w:hAnsi="Times New Roman"/>
      <w:sz w:val="24"/>
      <w:lang w:eastAsia="en-US"/>
    </w:rPr>
  </w:style>
  <w:style w:type="paragraph" w:customStyle="1" w:styleId="Fait">
    <w:name w:val="Fait à"/>
    <w:basedOn w:val="Normal"/>
    <w:next w:val="Institutionquisigne"/>
    <w:locked/>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l"/>
    <w:next w:val="Titrearticle"/>
    <w:locked/>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l"/>
    <w:next w:val="Institutionquisigne"/>
    <w:locked/>
    <w:rsid w:val="000D2D0B"/>
    <w:pPr>
      <w:tabs>
        <w:tab w:val="left" w:pos="4252"/>
      </w:tabs>
    </w:pPr>
    <w:rPr>
      <w:rFonts w:ascii="Times New Roman" w:hAnsi="Times New Roman"/>
      <w:i/>
      <w:sz w:val="24"/>
      <w:lang w:eastAsia="en-US"/>
    </w:rPr>
  </w:style>
  <w:style w:type="paragraph" w:customStyle="1" w:styleId="Titrearticle">
    <w:name w:val="Titre article"/>
    <w:basedOn w:val="Normal"/>
    <w:next w:val="Normal"/>
    <w:link w:val="TitrearticleChar"/>
    <w:uiPriority w:val="99"/>
    <w:locked/>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Normal"/>
    <w:next w:val="Normal"/>
    <w:locked/>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l"/>
    <w:next w:val="Titreobjet"/>
    <w:locked/>
    <w:rsid w:val="000D2D0B"/>
    <w:pPr>
      <w:spacing w:before="360"/>
      <w:jc w:val="center"/>
    </w:pPr>
    <w:rPr>
      <w:rFonts w:ascii="Times New Roman" w:hAnsi="Times New Roman"/>
      <w:b/>
      <w:sz w:val="24"/>
      <w:lang w:eastAsia="en-US"/>
    </w:rPr>
  </w:style>
  <w:style w:type="paragraph" w:customStyle="1" w:styleId="HeaderLandscape">
    <w:name w:val="HeaderLandscape"/>
    <w:basedOn w:val="Normal"/>
    <w:locked/>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l"/>
    <w:locked/>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l"/>
    <w:locked/>
    <w:rsid w:val="000D2D0B"/>
    <w:pPr>
      <w:spacing w:before="120" w:after="120"/>
      <w:ind w:left="850"/>
      <w:jc w:val="both"/>
    </w:pPr>
    <w:rPr>
      <w:rFonts w:ascii="Times New Roman" w:hAnsi="Times New Roman"/>
      <w:sz w:val="24"/>
      <w:lang w:eastAsia="en-US"/>
    </w:rPr>
  </w:style>
  <w:style w:type="paragraph" w:customStyle="1" w:styleId="Text2">
    <w:name w:val="Text 2"/>
    <w:basedOn w:val="Normal"/>
    <w:locked/>
    <w:rsid w:val="000D2D0B"/>
    <w:pPr>
      <w:spacing w:before="120" w:after="120"/>
      <w:ind w:left="1417"/>
      <w:jc w:val="both"/>
    </w:pPr>
    <w:rPr>
      <w:rFonts w:ascii="Times New Roman" w:hAnsi="Times New Roman"/>
      <w:sz w:val="24"/>
      <w:lang w:eastAsia="en-US"/>
    </w:rPr>
  </w:style>
  <w:style w:type="paragraph" w:customStyle="1" w:styleId="Text3">
    <w:name w:val="Text 3"/>
    <w:basedOn w:val="Normal"/>
    <w:locked/>
    <w:rsid w:val="000D2D0B"/>
    <w:pPr>
      <w:spacing w:before="120" w:after="120"/>
      <w:ind w:left="1984"/>
      <w:jc w:val="both"/>
    </w:pPr>
    <w:rPr>
      <w:rFonts w:ascii="Times New Roman" w:hAnsi="Times New Roman"/>
      <w:sz w:val="24"/>
      <w:lang w:eastAsia="en-US"/>
    </w:rPr>
  </w:style>
  <w:style w:type="paragraph" w:customStyle="1" w:styleId="Text4">
    <w:name w:val="Text 4"/>
    <w:basedOn w:val="Normal"/>
    <w:locked/>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l"/>
    <w:rsid w:val="000D2D0B"/>
    <w:pPr>
      <w:spacing w:before="120" w:after="120"/>
      <w:jc w:val="center"/>
    </w:pPr>
    <w:rPr>
      <w:rFonts w:ascii="Times New Roman" w:hAnsi="Times New Roman"/>
      <w:sz w:val="24"/>
      <w:lang w:eastAsia="en-US"/>
    </w:rPr>
  </w:style>
  <w:style w:type="paragraph" w:customStyle="1" w:styleId="NormalLeft">
    <w:name w:val="Normal Left"/>
    <w:basedOn w:val="Normal"/>
    <w:rsid w:val="000D2D0B"/>
    <w:pPr>
      <w:spacing w:before="120" w:after="120"/>
    </w:pPr>
    <w:rPr>
      <w:rFonts w:ascii="Times New Roman" w:hAnsi="Times New Roman"/>
      <w:sz w:val="24"/>
      <w:lang w:eastAsia="en-US"/>
    </w:rPr>
  </w:style>
  <w:style w:type="paragraph" w:customStyle="1" w:styleId="NormalRight">
    <w:name w:val="Normal Right"/>
    <w:basedOn w:val="Normal"/>
    <w:rsid w:val="000D2D0B"/>
    <w:pPr>
      <w:spacing w:before="120" w:after="120"/>
      <w:jc w:val="right"/>
    </w:pPr>
    <w:rPr>
      <w:rFonts w:ascii="Times New Roman" w:hAnsi="Times New Roman"/>
      <w:sz w:val="24"/>
      <w:lang w:eastAsia="en-US"/>
    </w:rPr>
  </w:style>
  <w:style w:type="paragraph" w:customStyle="1" w:styleId="QuotedText">
    <w:name w:val="Quoted Text"/>
    <w:basedOn w:val="Normal"/>
    <w:locked/>
    <w:rsid w:val="000D2D0B"/>
    <w:pPr>
      <w:spacing w:before="120" w:after="120"/>
      <w:ind w:left="1417"/>
      <w:jc w:val="both"/>
    </w:pPr>
    <w:rPr>
      <w:rFonts w:ascii="Times New Roman" w:hAnsi="Times New Roman"/>
      <w:sz w:val="24"/>
      <w:lang w:eastAsia="en-US"/>
    </w:rPr>
  </w:style>
  <w:style w:type="paragraph" w:customStyle="1" w:styleId="Point0">
    <w:name w:val="Point 0"/>
    <w:basedOn w:val="Normal"/>
    <w:locked/>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l"/>
    <w:locked/>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l"/>
    <w:locked/>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l"/>
    <w:locked/>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l"/>
    <w:locked/>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locked/>
    <w:rsid w:val="000D2D0B"/>
    <w:pPr>
      <w:numPr>
        <w:numId w:val="18"/>
      </w:numPr>
    </w:pPr>
  </w:style>
  <w:style w:type="paragraph" w:customStyle="1" w:styleId="Tiret2">
    <w:name w:val="Tiret 2"/>
    <w:basedOn w:val="Point2"/>
    <w:locked/>
    <w:rsid w:val="000D2D0B"/>
    <w:pPr>
      <w:tabs>
        <w:tab w:val="num" w:pos="1984"/>
      </w:tabs>
    </w:pPr>
  </w:style>
  <w:style w:type="paragraph" w:customStyle="1" w:styleId="Tiret3">
    <w:name w:val="Tiret 3"/>
    <w:basedOn w:val="Point3"/>
    <w:locked/>
    <w:rsid w:val="000D2D0B"/>
    <w:pPr>
      <w:numPr>
        <w:numId w:val="19"/>
      </w:numPr>
    </w:pPr>
  </w:style>
  <w:style w:type="paragraph" w:customStyle="1" w:styleId="Tiret4">
    <w:name w:val="Tiret 4"/>
    <w:basedOn w:val="Point4"/>
    <w:locked/>
    <w:rsid w:val="000D2D0B"/>
    <w:pPr>
      <w:numPr>
        <w:numId w:val="20"/>
      </w:numPr>
    </w:pPr>
  </w:style>
  <w:style w:type="paragraph" w:customStyle="1" w:styleId="PointDouble0">
    <w:name w:val="PointDouble 0"/>
    <w:basedOn w:val="Normal"/>
    <w:locked/>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l"/>
    <w:locked/>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l"/>
    <w:locked/>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l"/>
    <w:locked/>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l"/>
    <w:locked/>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l"/>
    <w:locked/>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l"/>
    <w:locked/>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l"/>
    <w:locked/>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l"/>
    <w:locked/>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l"/>
    <w:locked/>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l"/>
    <w:next w:val="Text1"/>
    <w:locked/>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Normal"/>
    <w:next w:val="Text1"/>
    <w:locked/>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Normal"/>
    <w:next w:val="Text1"/>
    <w:locked/>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Normal"/>
    <w:next w:val="Text1"/>
    <w:locked/>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l"/>
    <w:locked/>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l"/>
    <w:next w:val="Text1"/>
    <w:locked/>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l"/>
    <w:next w:val="Text1"/>
    <w:locked/>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l"/>
    <w:next w:val="Text1"/>
    <w:locked/>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l"/>
    <w:next w:val="Text1"/>
    <w:locked/>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l"/>
    <w:next w:val="Normal"/>
    <w:locked/>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l"/>
    <w:next w:val="ChapterTitle"/>
    <w:locked/>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l"/>
    <w:next w:val="Ttulo1"/>
    <w:locked/>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l"/>
    <w:next w:val="Normal"/>
    <w:locked/>
    <w:rsid w:val="000D2D0B"/>
    <w:pPr>
      <w:spacing w:before="120" w:after="120"/>
      <w:jc w:val="center"/>
    </w:pPr>
    <w:rPr>
      <w:rFonts w:ascii="Times New Roman" w:hAnsi="Times New Roman"/>
      <w:b/>
      <w:sz w:val="24"/>
      <w:lang w:eastAsia="en-US"/>
    </w:rPr>
  </w:style>
  <w:style w:type="character" w:customStyle="1" w:styleId="Marker">
    <w:name w:val="Marker"/>
    <w:locked/>
    <w:rsid w:val="000D2D0B"/>
    <w:rPr>
      <w:color w:val="0000FF"/>
      <w:shd w:val="clear" w:color="auto" w:fill="auto"/>
    </w:rPr>
  </w:style>
  <w:style w:type="character" w:customStyle="1" w:styleId="Marker1">
    <w:name w:val="Marker1"/>
    <w:locked/>
    <w:rsid w:val="000D2D0B"/>
    <w:rPr>
      <w:color w:val="008000"/>
      <w:shd w:val="clear" w:color="auto" w:fill="auto"/>
    </w:rPr>
  </w:style>
  <w:style w:type="character" w:customStyle="1" w:styleId="Marker2">
    <w:name w:val="Marker2"/>
    <w:locked/>
    <w:rsid w:val="000D2D0B"/>
    <w:rPr>
      <w:color w:val="FF0000"/>
      <w:shd w:val="clear" w:color="auto" w:fill="auto"/>
    </w:rPr>
  </w:style>
  <w:style w:type="paragraph" w:customStyle="1" w:styleId="Point0number">
    <w:name w:val="Point 0 (number)"/>
    <w:basedOn w:val="Normal"/>
    <w:locked/>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Normal"/>
    <w:locked/>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Normal"/>
    <w:locked/>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Normal"/>
    <w:locked/>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Normal"/>
    <w:locked/>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Normal"/>
    <w:locked/>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Normal"/>
    <w:locked/>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Normal"/>
    <w:locked/>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Normal"/>
    <w:locked/>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Normal"/>
    <w:locked/>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Normal"/>
    <w:locked/>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Normal"/>
    <w:locked/>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Normal"/>
    <w:locked/>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Normal"/>
    <w:locked/>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l"/>
    <w:next w:val="Normal"/>
    <w:locked/>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l"/>
    <w:next w:val="Normal"/>
    <w:locked/>
    <w:rsid w:val="000D2D0B"/>
    <w:pPr>
      <w:spacing w:before="360" w:after="120"/>
      <w:jc w:val="center"/>
    </w:pPr>
    <w:rPr>
      <w:rFonts w:ascii="Times New Roman" w:hAnsi="Times New Roman"/>
      <w:sz w:val="24"/>
      <w:lang w:eastAsia="en-US"/>
    </w:rPr>
  </w:style>
  <w:style w:type="paragraph" w:customStyle="1" w:styleId="Confidentialit">
    <w:name w:val="Confidentialité"/>
    <w:basedOn w:val="Normal"/>
    <w:next w:val="TypedudocumentPagedecouverture"/>
    <w:locked/>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l"/>
    <w:next w:val="Normal"/>
    <w:locked/>
    <w:rsid w:val="000D2D0B"/>
    <w:pPr>
      <w:spacing w:after="240"/>
    </w:pPr>
    <w:rPr>
      <w:rFonts w:ascii="Times New Roman" w:hAnsi="Times New Roman"/>
      <w:sz w:val="24"/>
      <w:lang w:eastAsia="en-US"/>
    </w:rPr>
  </w:style>
  <w:style w:type="paragraph" w:customStyle="1" w:styleId="Datedadoption">
    <w:name w:val="Date d'adoption"/>
    <w:basedOn w:val="Normal"/>
    <w:next w:val="Titreobjet"/>
    <w:locked/>
    <w:rsid w:val="000D2D0B"/>
    <w:pPr>
      <w:spacing w:before="360"/>
      <w:jc w:val="center"/>
    </w:pPr>
    <w:rPr>
      <w:rFonts w:ascii="Times New Roman" w:hAnsi="Times New Roman"/>
      <w:b/>
      <w:sz w:val="24"/>
      <w:lang w:eastAsia="en-US"/>
    </w:rPr>
  </w:style>
  <w:style w:type="paragraph" w:customStyle="1" w:styleId="Emission">
    <w:name w:val="Emission"/>
    <w:basedOn w:val="Normal"/>
    <w:next w:val="Rfrenceinstitutionnelle"/>
    <w:locked/>
    <w:rsid w:val="000D2D0B"/>
    <w:pPr>
      <w:ind w:left="5103"/>
    </w:pPr>
    <w:rPr>
      <w:rFonts w:ascii="Times New Roman" w:hAnsi="Times New Roman"/>
      <w:sz w:val="24"/>
      <w:lang w:eastAsia="en-US"/>
    </w:rPr>
  </w:style>
  <w:style w:type="paragraph" w:customStyle="1" w:styleId="Exposdesmotifstitre">
    <w:name w:val="Exposé des motifs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l"/>
    <w:next w:val="Normal"/>
    <w:locked/>
    <w:rsid w:val="000D2D0B"/>
    <w:pPr>
      <w:keepNext/>
      <w:spacing w:before="600" w:after="120"/>
      <w:jc w:val="both"/>
    </w:pPr>
    <w:rPr>
      <w:rFonts w:ascii="Times New Roman" w:hAnsi="Times New Roman"/>
      <w:sz w:val="24"/>
      <w:lang w:eastAsia="en-US"/>
    </w:rPr>
  </w:style>
  <w:style w:type="paragraph" w:customStyle="1" w:styleId="Langue">
    <w:name w:val="Langue"/>
    <w:basedOn w:val="Normal"/>
    <w:next w:val="Rfrenceinterne"/>
    <w:locked/>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l"/>
    <w:locked/>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l"/>
    <w:next w:val="Emission"/>
    <w:locked/>
    <w:rsid w:val="000D2D0B"/>
    <w:rPr>
      <w:rFonts w:cs="Arial"/>
      <w:sz w:val="24"/>
      <w:lang w:eastAsia="en-US"/>
    </w:rPr>
  </w:style>
  <w:style w:type="paragraph" w:customStyle="1" w:styleId="Rfrenceinstitutionnelle">
    <w:name w:val="Référence institutionnelle"/>
    <w:basedOn w:val="Normal"/>
    <w:next w:val="Confidentialit"/>
    <w:locked/>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l"/>
    <w:next w:val="Statut"/>
    <w:locked/>
    <w:rsid w:val="000D2D0B"/>
    <w:pPr>
      <w:ind w:left="5103"/>
    </w:pPr>
    <w:rPr>
      <w:rFonts w:ascii="Times New Roman" w:hAnsi="Times New Roman"/>
      <w:sz w:val="24"/>
      <w:lang w:eastAsia="en-US"/>
    </w:rPr>
  </w:style>
  <w:style w:type="paragraph" w:customStyle="1" w:styleId="Rfrenceinterne">
    <w:name w:val="Référence interne"/>
    <w:basedOn w:val="Normal"/>
    <w:next w:val="Rfrenceinterinstitutionnelle"/>
    <w:locked/>
    <w:rsid w:val="000D2D0B"/>
    <w:pPr>
      <w:ind w:left="5103"/>
    </w:pPr>
    <w:rPr>
      <w:rFonts w:ascii="Times New Roman" w:hAnsi="Times New Roman"/>
      <w:sz w:val="24"/>
      <w:lang w:eastAsia="en-US"/>
    </w:rPr>
  </w:style>
  <w:style w:type="paragraph" w:customStyle="1" w:styleId="Sous-titreobjet">
    <w:name w:val="Sous-titre objet"/>
    <w:basedOn w:val="Normal"/>
    <w:locked/>
    <w:rsid w:val="000D2D0B"/>
    <w:pPr>
      <w:jc w:val="center"/>
    </w:pPr>
    <w:rPr>
      <w:rFonts w:ascii="Times New Roman" w:hAnsi="Times New Roman"/>
      <w:b/>
      <w:sz w:val="24"/>
      <w:lang w:eastAsia="en-US"/>
    </w:rPr>
  </w:style>
  <w:style w:type="paragraph" w:customStyle="1" w:styleId="Statut">
    <w:name w:val="Statut"/>
    <w:basedOn w:val="Normal"/>
    <w:next w:val="Typedudocument"/>
    <w:locked/>
    <w:rsid w:val="000D2D0B"/>
    <w:pPr>
      <w:spacing w:before="360"/>
      <w:jc w:val="center"/>
    </w:pPr>
    <w:rPr>
      <w:rFonts w:ascii="Times New Roman" w:hAnsi="Times New Roman"/>
      <w:sz w:val="24"/>
      <w:lang w:eastAsia="en-US"/>
    </w:rPr>
  </w:style>
  <w:style w:type="character" w:customStyle="1" w:styleId="Added">
    <w:name w:val="Added"/>
    <w:locked/>
    <w:rsid w:val="000D2D0B"/>
    <w:rPr>
      <w:b/>
      <w:u w:val="single"/>
      <w:shd w:val="clear" w:color="auto" w:fill="auto"/>
    </w:rPr>
  </w:style>
  <w:style w:type="character" w:customStyle="1" w:styleId="Deleted">
    <w:name w:val="Deleted"/>
    <w:locked/>
    <w:rsid w:val="000D2D0B"/>
    <w:rPr>
      <w:strike/>
      <w:shd w:val="clear" w:color="auto" w:fill="auto"/>
    </w:rPr>
  </w:style>
  <w:style w:type="paragraph" w:customStyle="1" w:styleId="Address">
    <w:name w:val="Address"/>
    <w:basedOn w:val="Normal"/>
    <w:next w:val="Normal"/>
    <w:locked/>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l"/>
    <w:next w:val="Normal"/>
    <w:locked/>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l"/>
    <w:next w:val="Normal"/>
    <w:locked/>
    <w:rsid w:val="000D2D0B"/>
    <w:pPr>
      <w:spacing w:before="120" w:after="120"/>
      <w:jc w:val="both"/>
    </w:pPr>
    <w:rPr>
      <w:rFonts w:ascii="Times New Roman" w:hAnsi="Times New Roman"/>
      <w:sz w:val="24"/>
      <w:lang w:eastAsia="en-US"/>
    </w:rPr>
  </w:style>
  <w:style w:type="paragraph" w:customStyle="1" w:styleId="Supertitre">
    <w:name w:val="Supertitre"/>
    <w:basedOn w:val="Normal"/>
    <w:next w:val="Normal"/>
    <w:locked/>
    <w:rsid w:val="000D2D0B"/>
    <w:pPr>
      <w:spacing w:after="600"/>
      <w:jc w:val="center"/>
    </w:pPr>
    <w:rPr>
      <w:rFonts w:ascii="Times New Roman" w:hAnsi="Times New Roman"/>
      <w:b/>
      <w:sz w:val="24"/>
      <w:lang w:eastAsia="en-US"/>
    </w:rPr>
  </w:style>
  <w:style w:type="paragraph" w:customStyle="1" w:styleId="Languesfaisantfoi">
    <w:name w:val="Langues faisant foi"/>
    <w:basedOn w:val="Normal"/>
    <w:next w:val="Normal"/>
    <w:locked/>
    <w:rsid w:val="000D2D0B"/>
    <w:pPr>
      <w:spacing w:before="360"/>
      <w:jc w:val="center"/>
    </w:pPr>
    <w:rPr>
      <w:rFonts w:ascii="Times New Roman" w:hAnsi="Times New Roman"/>
      <w:sz w:val="24"/>
      <w:lang w:eastAsia="en-US"/>
    </w:rPr>
  </w:style>
  <w:style w:type="paragraph" w:customStyle="1" w:styleId="Rfrencecroise">
    <w:name w:val="Référence croisée"/>
    <w:basedOn w:val="Normal"/>
    <w:locked/>
    <w:rsid w:val="000D2D0B"/>
    <w:pPr>
      <w:jc w:val="center"/>
    </w:pPr>
    <w:rPr>
      <w:rFonts w:ascii="Times New Roman" w:hAnsi="Times New Roman"/>
      <w:sz w:val="24"/>
      <w:lang w:eastAsia="en-US"/>
    </w:rPr>
  </w:style>
  <w:style w:type="paragraph" w:customStyle="1" w:styleId="Fichefinanciretitre">
    <w:name w:val="Fiche financière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locked/>
    <w:rsid w:val="000D2D0B"/>
  </w:style>
  <w:style w:type="paragraph" w:customStyle="1" w:styleId="RfrenceinterinstitutionnellePagedecouverture">
    <w:name w:val="Référence interinstitutionnelle (Page de couverture)"/>
    <w:basedOn w:val="Rfrenceinterinstitutionnelle"/>
    <w:next w:val="Confidentialit"/>
    <w:locked/>
    <w:rsid w:val="000D2D0B"/>
  </w:style>
  <w:style w:type="paragraph" w:customStyle="1" w:styleId="Sous-titreobjetPagedecouverture">
    <w:name w:val="Sous-titre objet (Page de couverture)"/>
    <w:basedOn w:val="Sous-titreobjet"/>
    <w:locked/>
    <w:rsid w:val="000D2D0B"/>
  </w:style>
  <w:style w:type="paragraph" w:customStyle="1" w:styleId="StatutPagedecouverture">
    <w:name w:val="Statut (Page de couverture)"/>
    <w:basedOn w:val="Statut"/>
    <w:next w:val="TypedudocumentPagedecouverture"/>
    <w:locked/>
    <w:rsid w:val="000D2D0B"/>
  </w:style>
  <w:style w:type="paragraph" w:customStyle="1" w:styleId="TitreobjetPagedecouverture">
    <w:name w:val="Titre objet (Page de couverture)"/>
    <w:basedOn w:val="Titreobjet"/>
    <w:next w:val="Sous-titreobjetPagedecouverture"/>
    <w:locked/>
    <w:rsid w:val="000D2D0B"/>
  </w:style>
  <w:style w:type="paragraph" w:customStyle="1" w:styleId="TypedudocumentPagedecouverture">
    <w:name w:val="Type du document (Page de couverture)"/>
    <w:basedOn w:val="Typedudocument"/>
    <w:next w:val="TitreobjetPagedecouverture"/>
    <w:locked/>
    <w:rsid w:val="000D2D0B"/>
  </w:style>
  <w:style w:type="paragraph" w:customStyle="1" w:styleId="Volume">
    <w:name w:val="Volume"/>
    <w:basedOn w:val="Normal"/>
    <w:next w:val="Confidentialit"/>
    <w:locked/>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l"/>
    <w:locked/>
    <w:rsid w:val="000D2D0B"/>
    <w:pPr>
      <w:spacing w:after="240"/>
    </w:pPr>
  </w:style>
  <w:style w:type="paragraph" w:customStyle="1" w:styleId="Accompagnant">
    <w:name w:val="Accompagnant"/>
    <w:basedOn w:val="Normal"/>
    <w:next w:val="Typeacteprincipal"/>
    <w:locked/>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l"/>
    <w:next w:val="Objetacteprincipal"/>
    <w:locked/>
    <w:rsid w:val="000D2D0B"/>
    <w:pPr>
      <w:spacing w:after="240"/>
      <w:jc w:val="center"/>
    </w:pPr>
    <w:rPr>
      <w:rFonts w:ascii="Times New Roman" w:hAnsi="Times New Roman"/>
      <w:b/>
      <w:sz w:val="24"/>
      <w:lang w:eastAsia="en-US"/>
    </w:rPr>
  </w:style>
  <w:style w:type="paragraph" w:customStyle="1" w:styleId="Objetacteprincipal">
    <w:name w:val="Objet acte principal"/>
    <w:basedOn w:val="Normal"/>
    <w:next w:val="Titrearticle"/>
    <w:locked/>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locked/>
    <w:rsid w:val="000D2D0B"/>
  </w:style>
  <w:style w:type="paragraph" w:customStyle="1" w:styleId="AccompagnantPagedecouverture">
    <w:name w:val="Accompagnant (Page de couverture)"/>
    <w:basedOn w:val="Accompagnant"/>
    <w:next w:val="TypeacteprincipalPagedecouverture"/>
    <w:locked/>
    <w:rsid w:val="000D2D0B"/>
  </w:style>
  <w:style w:type="paragraph" w:customStyle="1" w:styleId="TypeacteprincipalPagedecouverture">
    <w:name w:val="Type acte principal (Page de couverture)"/>
    <w:basedOn w:val="Typeacteprincipal"/>
    <w:next w:val="ObjetacteprincipalPagedecouverture"/>
    <w:locked/>
    <w:rsid w:val="000D2D0B"/>
  </w:style>
  <w:style w:type="paragraph" w:customStyle="1" w:styleId="ObjetacteprincipalPagedecouverture">
    <w:name w:val="Objet acte principal (Page de couverture)"/>
    <w:basedOn w:val="Objetacteprincipal"/>
    <w:next w:val="Rfrencecroise"/>
    <w:locked/>
    <w:rsid w:val="000D2D0B"/>
  </w:style>
  <w:style w:type="paragraph" w:customStyle="1" w:styleId="LanguesfaisantfoiPagedecouverture">
    <w:name w:val="Langues faisant foi (Page de couverture)"/>
    <w:basedOn w:val="Normal"/>
    <w:next w:val="Normal"/>
    <w:locked/>
    <w:rsid w:val="000D2D0B"/>
    <w:pPr>
      <w:spacing w:before="360"/>
      <w:jc w:val="center"/>
    </w:pPr>
    <w:rPr>
      <w:rFonts w:ascii="Times New Roman" w:hAnsi="Times New Roman"/>
      <w:sz w:val="24"/>
      <w:lang w:eastAsia="en-US"/>
    </w:rPr>
  </w:style>
  <w:style w:type="paragraph" w:styleId="Listaconnmeros2">
    <w:name w:val="List Number 2"/>
    <w:basedOn w:val="Normal"/>
    <w:locked/>
    <w:rsid w:val="000D2D0B"/>
    <w:pPr>
      <w:tabs>
        <w:tab w:val="num" w:pos="643"/>
      </w:tabs>
      <w:spacing w:before="120" w:after="120"/>
      <w:ind w:left="643" w:hanging="360"/>
      <w:jc w:val="both"/>
    </w:pPr>
    <w:rPr>
      <w:rFonts w:ascii="Times New Roman" w:hAnsi="Times New Roman"/>
      <w:sz w:val="24"/>
      <w:lang w:eastAsia="en-US"/>
    </w:rPr>
  </w:style>
  <w:style w:type="paragraph" w:styleId="Listaconnmeros3">
    <w:name w:val="List Number 3"/>
    <w:basedOn w:val="Normal"/>
    <w:locked/>
    <w:rsid w:val="000D2D0B"/>
    <w:pPr>
      <w:tabs>
        <w:tab w:val="num" w:pos="926"/>
      </w:tabs>
      <w:spacing w:before="120" w:after="120"/>
      <w:ind w:left="926" w:hanging="360"/>
      <w:jc w:val="both"/>
    </w:pPr>
    <w:rPr>
      <w:rFonts w:ascii="Times New Roman" w:hAnsi="Times New Roman"/>
      <w:sz w:val="24"/>
      <w:lang w:eastAsia="en-US"/>
    </w:rPr>
  </w:style>
  <w:style w:type="paragraph" w:styleId="Listaconnmeros4">
    <w:name w:val="List Number 4"/>
    <w:basedOn w:val="Normal"/>
    <w:locked/>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Listaconvietas">
    <w:name w:val="List Bullet"/>
    <w:basedOn w:val="Normal"/>
    <w:locked/>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Listaconvietas2">
    <w:name w:val="List Bullet 2"/>
    <w:basedOn w:val="Normal"/>
    <w:locked/>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Listaconvietas3">
    <w:name w:val="List Bullet 3"/>
    <w:basedOn w:val="Normal"/>
    <w:locked/>
    <w:rsid w:val="000D2D0B"/>
    <w:pPr>
      <w:numPr>
        <w:numId w:val="16"/>
      </w:numPr>
      <w:tabs>
        <w:tab w:val="num" w:pos="926"/>
      </w:tabs>
      <w:spacing w:before="120" w:after="120"/>
      <w:ind w:left="926"/>
      <w:jc w:val="both"/>
    </w:pPr>
    <w:rPr>
      <w:rFonts w:ascii="Times New Roman" w:hAnsi="Times New Roman"/>
      <w:sz w:val="24"/>
      <w:lang w:eastAsia="en-US"/>
    </w:rPr>
  </w:style>
  <w:style w:type="paragraph" w:styleId="Listaconvietas4">
    <w:name w:val="List Bullet 4"/>
    <w:basedOn w:val="Normal"/>
    <w:locked/>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Tabladeilustraciones">
    <w:name w:val="table of figures"/>
    <w:basedOn w:val="Normal"/>
    <w:next w:val="Normal"/>
    <w:locked/>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
    <w:locked/>
    <w:rsid w:val="000D2D0B"/>
    <w:pPr>
      <w:ind w:left="720"/>
      <w:contextualSpacing/>
    </w:pPr>
    <w:rPr>
      <w:rFonts w:ascii="Cambria" w:hAnsi="Cambria"/>
      <w:sz w:val="24"/>
      <w:lang w:val="en-US" w:eastAsia="en-US"/>
    </w:rPr>
  </w:style>
  <w:style w:type="paragraph" w:customStyle="1" w:styleId="Listeavsnitt1">
    <w:name w:val="Listeavsnitt1"/>
    <w:basedOn w:val="Normal"/>
    <w:locked/>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locked/>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locked/>
    <w:rsid w:val="000D2D0B"/>
    <w:pPr>
      <w:numPr>
        <w:numId w:val="27"/>
      </w:numPr>
    </w:pPr>
  </w:style>
  <w:style w:type="character" w:customStyle="1" w:styleId="DeltaViewDeletion">
    <w:name w:val="DeltaView Deletion"/>
    <w:locked/>
    <w:rsid w:val="000D2D0B"/>
    <w:rPr>
      <w:b/>
      <w:strike/>
      <w:color w:val="FFFFFF"/>
      <w:spacing w:val="0"/>
    </w:rPr>
  </w:style>
  <w:style w:type="paragraph" w:customStyle="1" w:styleId="Listenabsatz3">
    <w:name w:val="Listenabsatz3"/>
    <w:basedOn w:val="Normal"/>
    <w:locked/>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l"/>
    <w:uiPriority w:val="99"/>
    <w:locked/>
    <w:rsid w:val="000D2D0B"/>
    <w:pPr>
      <w:ind w:left="720"/>
      <w:contextualSpacing/>
    </w:pPr>
    <w:rPr>
      <w:rFonts w:ascii="Cambria" w:hAnsi="Cambria"/>
      <w:sz w:val="24"/>
      <w:lang w:val="en-US" w:eastAsia="en-US"/>
    </w:rPr>
  </w:style>
  <w:style w:type="paragraph" w:customStyle="1" w:styleId="ListParagraph2">
    <w:name w:val="List Paragraph2"/>
    <w:basedOn w:val="Normal"/>
    <w:locked/>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Ttulo1"/>
    <w:next w:val="Normal"/>
    <w:locked/>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
    <w:locked/>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Normal"/>
    <w:uiPriority w:val="99"/>
    <w:locked/>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l"/>
    <w:locked/>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
    <w:uiPriority w:val="34"/>
    <w:qFormat/>
    <w:locked/>
    <w:rsid w:val="000D2D0B"/>
    <w:pPr>
      <w:ind w:left="720"/>
      <w:contextualSpacing/>
    </w:pPr>
    <w:rPr>
      <w:rFonts w:ascii="Times New Roman" w:hAnsi="Times New Roman"/>
      <w:sz w:val="24"/>
      <w:lang w:eastAsia="en-GB"/>
    </w:rPr>
  </w:style>
  <w:style w:type="paragraph" w:customStyle="1" w:styleId="Listenabsatz4">
    <w:name w:val="Listenabsatz4"/>
    <w:basedOn w:val="Normal"/>
    <w:qFormat/>
    <w:locked/>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locked/>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locked/>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locked/>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locked/>
    <w:rsid w:val="000D2D0B"/>
    <w:rPr>
      <w:rFonts w:ascii="EUAlbertina" w:hAnsi="EUAlbertina" w:cs="Times New Roman"/>
      <w:color w:val="auto"/>
      <w:lang w:val="de-DE" w:eastAsia="de-DE"/>
    </w:rPr>
  </w:style>
  <w:style w:type="paragraph" w:customStyle="1" w:styleId="aStyle1">
    <w:name w:val="a. Style1"/>
    <w:basedOn w:val="Normal"/>
    <w:link w:val="aStyle1Char"/>
    <w:qFormat/>
    <w:locked/>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Arial" w:hAnsi="Arial"/>
      <w:lang w:val="x-none" w:eastAsia="x-none"/>
    </w:rPr>
  </w:style>
  <w:style w:type="paragraph" w:styleId="Ttulo">
    <w:name w:val="Title"/>
    <w:basedOn w:val="Normal"/>
    <w:next w:val="Normal"/>
    <w:link w:val="TtuloCar"/>
    <w:uiPriority w:val="10"/>
    <w:qFormat/>
    <w:locked/>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tuloCar">
    <w:name w:val="Título Car"/>
    <w:link w:val="Ttulo"/>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
    <w:locked/>
    <w:rsid w:val="000D2D0B"/>
    <w:pPr>
      <w:spacing w:before="320" w:line="260" w:lineRule="exact"/>
      <w:jc w:val="both"/>
    </w:pPr>
    <w:rPr>
      <w:rFonts w:ascii="Myriad Pro Light" w:hAnsi="Myriad Pro Light"/>
      <w:b/>
      <w:sz w:val="21"/>
      <w:szCs w:val="20"/>
      <w:lang w:val="es-ES" w:eastAsia="es-ES"/>
    </w:rPr>
  </w:style>
  <w:style w:type="character" w:customStyle="1" w:styleId="RevisinCar">
    <w:name w:val="Revisión Car"/>
    <w:link w:val="Revisin"/>
    <w:uiPriority w:val="99"/>
    <w:semiHidden/>
    <w:locked/>
    <w:rsid w:val="000D2D0B"/>
    <w:rPr>
      <w:rFonts w:ascii="Georgia" w:hAnsi="Georgia"/>
      <w:sz w:val="22"/>
      <w:szCs w:val="24"/>
      <w:lang w:eastAsia="de-DE"/>
    </w:rPr>
  </w:style>
  <w:style w:type="table" w:customStyle="1" w:styleId="TableGrid2">
    <w:name w:val="Table Grid2"/>
    <w:basedOn w:val="Tablanormal"/>
    <w:next w:val="Tablaconcuadrcula"/>
    <w:uiPriority w:val="59"/>
    <w:locked/>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sutil">
    <w:name w:val="Subtle Emphasis"/>
    <w:aliases w:val="Question"/>
    <w:uiPriority w:val="19"/>
    <w:qFormat/>
    <w:locked/>
    <w:rsid w:val="003A6E9A"/>
    <w:rPr>
      <w:b/>
      <w:i w:val="0"/>
      <w:iCs/>
      <w:sz w:val="20"/>
    </w:rPr>
  </w:style>
  <w:style w:type="paragraph" w:customStyle="1" w:styleId="NEW-Paragraph-Level1">
    <w:name w:val="NEW-Paragraph-Level1"/>
    <w:basedOn w:val="Normal"/>
    <w:locked/>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l"/>
    <w:link w:val="NEW-Paragraph-level2Char"/>
    <w:locked/>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Normal"/>
    <w:link w:val="NEW-Paragraph-level3Char"/>
    <w:locked/>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Arial" w:hAnsi="Arial"/>
      <w:lang w:eastAsia="de-DE"/>
    </w:rPr>
  </w:style>
  <w:style w:type="character" w:customStyle="1" w:styleId="NEW-Paragraph-level3Char">
    <w:name w:val="NEW-Paragraph-level3 Char"/>
    <w:link w:val="NEW-Paragraph-level3"/>
    <w:rsid w:val="00F90EF4"/>
    <w:rPr>
      <w:rFonts w:ascii="Arial" w:hAnsi="Arial"/>
      <w:lang w:eastAsia="de-DE"/>
    </w:rPr>
  </w:style>
  <w:style w:type="paragraph" w:customStyle="1" w:styleId="NEW-Level0">
    <w:name w:val="NEW-Level0"/>
    <w:basedOn w:val="Normal"/>
    <w:locked/>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Normal"/>
    <w:locked/>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Normal"/>
    <w:link w:val="NEW-Level2Char"/>
    <w:locked/>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locked/>
    <w:rsid w:val="004E76A1"/>
    <w:pPr>
      <w:spacing w:before="120" w:after="120"/>
      <w:ind w:left="425" w:hanging="425"/>
    </w:pPr>
  </w:style>
  <w:style w:type="paragraph" w:customStyle="1" w:styleId="aNEW-Level1">
    <w:name w:val="aNEW-Level1"/>
    <w:basedOn w:val="NEW-Level1"/>
    <w:link w:val="aNEW-Level1Char"/>
    <w:qFormat/>
    <w:locked/>
    <w:rsid w:val="000636A1"/>
    <w:pPr>
      <w:spacing w:before="120" w:after="120"/>
      <w:ind w:left="431" w:hanging="431"/>
    </w:pPr>
  </w:style>
  <w:style w:type="character" w:customStyle="1" w:styleId="aNEW-Level0Char">
    <w:name w:val="aNEW-Level0 Char"/>
    <w:link w:val="aNEW-Level0"/>
    <w:rsid w:val="004E76A1"/>
    <w:rPr>
      <w:rFonts w:ascii="Arial" w:hAnsi="Arial" w:cs="Arial"/>
      <w:b/>
      <w:bCs/>
      <w:kern w:val="32"/>
      <w:sz w:val="28"/>
      <w:szCs w:val="28"/>
      <w:lang w:eastAsia="de-DE"/>
    </w:rPr>
  </w:style>
  <w:style w:type="character" w:customStyle="1" w:styleId="aNEW-Level1Char">
    <w:name w:val="aNEW-Level1 Char"/>
    <w:link w:val="aNEW-Level1"/>
    <w:rsid w:val="000636A1"/>
    <w:rPr>
      <w:rFonts w:ascii="Arial" w:hAnsi="Arial" w:cs="Arial"/>
      <w:b/>
      <w:bCs/>
      <w:kern w:val="32"/>
      <w:sz w:val="24"/>
      <w:szCs w:val="32"/>
      <w:lang w:eastAsia="de-DE"/>
    </w:rPr>
  </w:style>
  <w:style w:type="paragraph" w:customStyle="1" w:styleId="aNEW-Level2">
    <w:name w:val="aNEW-Level2"/>
    <w:basedOn w:val="NEW-Level2"/>
    <w:link w:val="aNEW-Level2Char"/>
    <w:qFormat/>
    <w:locked/>
    <w:rsid w:val="00176982"/>
  </w:style>
  <w:style w:type="paragraph" w:customStyle="1" w:styleId="aNEW-Level4">
    <w:name w:val="aNEW-Level4"/>
    <w:basedOn w:val="Normal"/>
    <w:link w:val="aNEW-Level4Char"/>
    <w:qFormat/>
    <w:locked/>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
    <w:link w:val="aNEW-QuestionsChar"/>
    <w:qFormat/>
    <w:locked/>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locked/>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Arial" w:eastAsia="Calibri" w:hAnsi="Arial"/>
      <w:b/>
      <w:bCs/>
      <w:kern w:val="28"/>
      <w:szCs w:val="32"/>
      <w:lang w:eastAsia="en-US"/>
    </w:rPr>
  </w:style>
  <w:style w:type="character" w:customStyle="1" w:styleId="aNEW-ParagraphChar">
    <w:name w:val="aNEW-Paragraph Char"/>
    <w:link w:val="aNEW-Paragraph"/>
    <w:rsid w:val="001244CD"/>
    <w:rPr>
      <w:rFonts w:ascii="Arial" w:eastAsia="Calibri" w:hAnsi="Arial"/>
      <w:lang w:eastAsia="de-DE"/>
    </w:rPr>
  </w:style>
  <w:style w:type="paragraph" w:customStyle="1" w:styleId="aNew-Level33">
    <w:name w:val="aNew-Level33"/>
    <w:basedOn w:val="Normal"/>
    <w:link w:val="aNew-Level33Char"/>
    <w:qFormat/>
    <w:locked/>
    <w:rsid w:val="004C14E7"/>
    <w:pPr>
      <w:spacing w:after="250" w:line="276" w:lineRule="auto"/>
      <w:ind w:left="426" w:hanging="426"/>
      <w:jc w:val="both"/>
    </w:pPr>
    <w:rPr>
      <w:b/>
    </w:rPr>
  </w:style>
  <w:style w:type="paragraph" w:customStyle="1" w:styleId="aNew-BoxTitle">
    <w:name w:val="aNew-BoxTitle"/>
    <w:basedOn w:val="04aNumbering"/>
    <w:link w:val="aNew-BoxTitleChar"/>
    <w:qFormat/>
    <w:locked/>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locked/>
    <w:rsid w:val="0061478E"/>
    <w:pPr>
      <w:ind w:left="851" w:hanging="425"/>
    </w:pPr>
  </w:style>
  <w:style w:type="paragraph" w:customStyle="1" w:styleId="aNEW-Paragraph-level3">
    <w:name w:val="aNEW-Paragraph-level3"/>
    <w:basedOn w:val="NEW-Paragraph-level3"/>
    <w:link w:val="aNEW-Paragraph-level3Char"/>
    <w:qFormat/>
    <w:locked/>
    <w:rsid w:val="00566D36"/>
    <w:pPr>
      <w:ind w:left="1276" w:hanging="426"/>
    </w:pPr>
  </w:style>
  <w:style w:type="character" w:customStyle="1" w:styleId="aNEW-Paragraph-level2Char">
    <w:name w:val="aNEW-Paragraph-level2 Char"/>
    <w:link w:val="aNEW-Paragraph-level2"/>
    <w:rsid w:val="0061478E"/>
    <w:rPr>
      <w:rFonts w:ascii="Arial" w:hAnsi="Arial"/>
      <w:lang w:eastAsia="de-DE"/>
    </w:rPr>
  </w:style>
  <w:style w:type="character" w:customStyle="1" w:styleId="aNEW-Paragraph-level3Char">
    <w:name w:val="aNEW-Paragraph-level3 Char"/>
    <w:link w:val="aNEW-Paragraph-level3"/>
    <w:rsid w:val="00566D36"/>
    <w:rPr>
      <w:rFonts w:ascii="Arial" w:hAnsi="Arial"/>
      <w:lang w:eastAsia="de-DE"/>
    </w:rPr>
  </w:style>
  <w:style w:type="paragraph" w:customStyle="1" w:styleId="aNew-Level5">
    <w:name w:val="aNew-Level5"/>
    <w:basedOn w:val="Normal"/>
    <w:link w:val="aNew-Level5Char"/>
    <w:qFormat/>
    <w:locked/>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
    <w:link w:val="Questions-ESMAChar"/>
    <w:qFormat/>
    <w:locked/>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Normal"/>
    <w:link w:val="CPQuestionsChar"/>
    <w:qFormat/>
    <w:locked/>
    <w:rsid w:val="00EF0769"/>
    <w:pPr>
      <w:numPr>
        <w:numId w:val="32"/>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Fuentedeprrafopredeter"/>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locked/>
    <w:rsid w:val="00566C6A"/>
    <w:pPr>
      <w:numPr>
        <w:numId w:val="33"/>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nfasisintenso">
    <w:name w:val="Intense Emphasis"/>
    <w:basedOn w:val="Fuentedeprrafopredeter"/>
    <w:uiPriority w:val="21"/>
    <w:qFormat/>
    <w:locked/>
    <w:rsid w:val="00D34282"/>
    <w:rPr>
      <w:b/>
      <w:bCs/>
      <w:i/>
      <w:iCs/>
    </w:rPr>
  </w:style>
  <w:style w:type="character" w:customStyle="1" w:styleId="CPTitle1Char">
    <w:name w:val="CP_Title1 Char"/>
    <w:basedOn w:val="Fuentedeprrafopredeter"/>
    <w:link w:val="CPTitle1"/>
    <w:locked/>
    <w:rsid w:val="00D34282"/>
    <w:rPr>
      <w:rFonts w:asciiTheme="majorHAnsi" w:eastAsiaTheme="majorEastAsia" w:hAnsiTheme="majorHAnsi" w:cstheme="majorHAnsi"/>
      <w:b/>
      <w:sz w:val="32"/>
      <w:szCs w:val="32"/>
    </w:rPr>
  </w:style>
  <w:style w:type="paragraph" w:customStyle="1" w:styleId="CPTitle1">
    <w:name w:val="CP_Title1"/>
    <w:basedOn w:val="Ttulo1"/>
    <w:link w:val="CPTitle1Char"/>
    <w:qFormat/>
    <w:locked/>
    <w:rsid w:val="00D34282"/>
    <w:pPr>
      <w:keepLines/>
      <w:numPr>
        <w:numId w:val="34"/>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Ttulo2"/>
    <w:qFormat/>
    <w:locked/>
    <w:rsid w:val="00D34282"/>
    <w:pPr>
      <w:numPr>
        <w:ilvl w:val="2"/>
        <w:numId w:val="34"/>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Normal"/>
    <w:qFormat/>
    <w:locked/>
    <w:rsid w:val="00D34282"/>
    <w:pPr>
      <w:numPr>
        <w:ilvl w:val="3"/>
        <w:numId w:val="34"/>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Normal"/>
    <w:qFormat/>
    <w:locked/>
    <w:rsid w:val="00D34282"/>
    <w:pPr>
      <w:numPr>
        <w:ilvl w:val="4"/>
        <w:numId w:val="34"/>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Normal"/>
    <w:qFormat/>
    <w:locked/>
    <w:rsid w:val="00D34282"/>
    <w:pPr>
      <w:numPr>
        <w:ilvl w:val="5"/>
        <w:numId w:val="34"/>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Normal"/>
    <w:qFormat/>
    <w:locked/>
    <w:rsid w:val="00D34282"/>
    <w:pPr>
      <w:numPr>
        <w:ilvl w:val="6"/>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Normal"/>
    <w:qFormat/>
    <w:locked/>
    <w:rsid w:val="00D34282"/>
    <w:pPr>
      <w:numPr>
        <w:ilvl w:val="7"/>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Normal"/>
    <w:qFormat/>
    <w:locked/>
    <w:rsid w:val="00D34282"/>
    <w:pPr>
      <w:numPr>
        <w:ilvl w:val="8"/>
        <w:numId w:val="34"/>
      </w:numPr>
      <w:spacing w:before="250" w:line="276" w:lineRule="auto"/>
      <w:jc w:val="both"/>
    </w:pPr>
    <w:rPr>
      <w:rFonts w:asciiTheme="minorHAnsi" w:eastAsiaTheme="minorEastAsia" w:hAnsiTheme="minorHAnsi" w:cstheme="minorBidi"/>
      <w:sz w:val="22"/>
      <w:szCs w:val="20"/>
      <w:lang w:eastAsia="en-US"/>
    </w:rPr>
  </w:style>
  <w:style w:type="character" w:customStyle="1" w:styleId="QuestionstyleChar">
    <w:name w:val="Question style Char"/>
    <w:basedOn w:val="Fuentedeprrafopredeter"/>
    <w:link w:val="Questionstyle"/>
    <w:locked/>
    <w:rsid w:val="000A609F"/>
    <w:rPr>
      <w:rFonts w:ascii="Arial" w:eastAsiaTheme="minorEastAsia" w:hAnsi="Arial" w:cs="Arial"/>
      <w:b/>
      <w:lang w:val="en-US"/>
    </w:rPr>
  </w:style>
  <w:style w:type="paragraph" w:customStyle="1" w:styleId="Questionstyle">
    <w:name w:val="Question style"/>
    <w:basedOn w:val="Normal"/>
    <w:next w:val="Normal"/>
    <w:link w:val="QuestionstyleChar"/>
    <w:autoRedefine/>
    <w:qFormat/>
    <w:rsid w:val="000A609F"/>
    <w:pPr>
      <w:spacing w:after="250" w:line="276" w:lineRule="auto"/>
      <w:contextualSpacing/>
      <w:jc w:val="both"/>
    </w:pPr>
    <w:rPr>
      <w:rFonts w:eastAsiaTheme="minorEastAsia" w:cs="Arial"/>
      <w:b/>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25463588">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1109818697">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sma.europa.e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Sustainable Finance Document" ma:contentTypeID="0x010100DD70E92362DEE14191597B20A60D97FF0500970CD517293225479483743EE25FFF6B" ma:contentTypeVersion="6" ma:contentTypeDescription="" ma:contentTypeScope="" ma:versionID="fc5a918ed19341902796e5920a7d490b">
  <xsd:schema xmlns:xsd="http://www.w3.org/2001/XMLSchema" xmlns:xs="http://www.w3.org/2001/XMLSchema" xmlns:p="http://schemas.microsoft.com/office/2006/metadata/properties" xmlns:ns2="35c8e399-07b8-49e4-91bf-01a20105d4df" targetNamespace="http://schemas.microsoft.com/office/2006/metadata/properties" ma:root="true" ma:fieldsID="a7a2222f662d2cbeb6ad9aa76c34296d" ns2:_="">
    <xsd:import namespace="35c8e399-07b8-49e4-91bf-01a20105d4df"/>
    <xsd:element name="properties">
      <xsd:complexType>
        <xsd:sequence>
          <xsd:element name="documentManagement">
            <xsd:complexType>
              <xsd:all>
                <xsd:element ref="ns2:Year"/>
                <xsd:element ref="ns2:MeetingDate" minOccurs="0"/>
                <xsd:element ref="ns2:k9db3a09612944c49e649e0ff38a506b" minOccurs="0"/>
                <xsd:element ref="ns2:kdd529b9a5cb416096d62dbd0e6e5583" minOccurs="0"/>
                <xsd:element ref="ns2:_dlc_DocIdPersistId" minOccurs="0"/>
                <xsd:element ref="ns2:oa4fe03ffd8943c1880fe290404e8de7" minOccurs="0"/>
                <xsd:element ref="ns2:o129a376828d47fdaef4d5f5d93fd079" minOccurs="0"/>
                <xsd:element ref="ns2:_dlc_DocId" minOccurs="0"/>
                <xsd:element ref="ns2:_dlc_DocIdUrl" minOccurs="0"/>
                <xsd:element ref="ns2:TaxCatchAll" minOccurs="0"/>
                <xsd:element ref="ns2:i273e4c9de95495b82bee898e1d119e4" minOccurs="0"/>
                <xsd:element ref="ns2:pe003f6b23174764860dd10a5d2d3e7f"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c8e399-07b8-49e4-91bf-01a20105d4df" elementFormDefault="qualified">
    <xsd:import namespace="http://schemas.microsoft.com/office/2006/documentManagement/types"/>
    <xsd:import namespace="http://schemas.microsoft.com/office/infopath/2007/PartnerControls"/>
    <xsd:element name="Year" ma:index="6" ma:displayName="Year" ma:description="" ma:internalName="Year" ma:readOnly="false">
      <xsd:simpleType>
        <xsd:restriction base="dms:Text">
          <xsd:maxLength value="4"/>
        </xsd:restriction>
      </xsd:simpleType>
    </xsd:element>
    <xsd:element name="MeetingDate" ma:index="8" nillable="true" ma:displayName="Meeting Date" ma:description="" ma:format="DateOnly" ma:internalName="MeetingDate">
      <xsd:simpleType>
        <xsd:restriction base="dms:DateTime"/>
      </xsd:simpleType>
    </xsd:element>
    <xsd:element name="k9db3a09612944c49e649e0ff38a506b" ma:index="10" nillable="true" ma:taxonomy="true" ma:internalName="k9db3a09612944c49e649e0ff38a506b" ma:taxonomyFieldName="EsmaAudience" ma:displayName="Audience" ma:readOnly="false" ma:default="" ma:fieldId="{49db3a09-6129-44c4-9e64-9e0ff38a506b}"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kdd529b9a5cb416096d62dbd0e6e5583" ma:index="14" nillable="true" ma:taxonomy="true" ma:internalName="kdd529b9a5cb416096d62dbd0e6e5583" ma:taxonomyFieldName="TeamName" ma:displayName="Team Name" ma:readOnly="false" ma:default="38;#Investment Management|9630b78b-e81c-4ffd-baef-5f8b4aeb7ac5" ma:fieldId="{4dd529b9-a5cb-4160-96d6-2dbd0e6e5583}" ma:sspId="0ac1876e-32bf-4158-94e7-cdbcd053a335" ma:termSetId="9ab8a8dd-aa7f-4e9e-9345-c8f50d6bfad1" ma:anchorId="00000000-0000-0000-0000-000000000000" ma:open="false" ma:isKeyword="false">
      <xsd:complexType>
        <xsd:sequence>
          <xsd:element ref="pc:Terms" minOccurs="0" maxOccurs="1"/>
        </xsd:sequence>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oa4fe03ffd8943c1880fe290404e8de7" ma:index="16" nillable="true" ma:taxonomy="true" ma:internalName="oa4fe03ffd8943c1880fe290404e8de7" ma:taxonomyFieldName="DocumentType" ma:displayName="Document Type" ma:readOnly="false" ma:default="" ma:fieldId="{8a4fe03f-fd89-43c1-880f-e290404e8de7}"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o129a376828d47fdaef4d5f5d93fd079" ma:index="18" ma:taxonomy="true" ma:internalName="o129a376828d47fdaef4d5f5d93fd079" ma:taxonomyFieldName="ConfidentialityLevel" ma:displayName="Confidentiality Level" ma:readOnly="false" ma:default="15;#Regular|07f1e362-856b-423d-bea6-a14079762141" ma:fieldId="{8129a376-828d-47fd-aef4-d5f5d93fd079}"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21" nillable="true" ma:displayName="Taxonomy Catch All Column" ma:hidden="true" ma:list="{c380671e-f6c3-419a-ac4e-e7d07b07efc7}" ma:internalName="TaxCatchAll" ma:showField="CatchAllData" ma:web="35c8e399-07b8-49e4-91bf-01a20105d4df">
      <xsd:complexType>
        <xsd:complexContent>
          <xsd:extension base="dms:MultiChoiceLookup">
            <xsd:sequence>
              <xsd:element name="Value" type="dms:Lookup" maxOccurs="unbounded" minOccurs="0" nillable="true"/>
            </xsd:sequence>
          </xsd:extension>
        </xsd:complexContent>
      </xsd:complexType>
    </xsd:element>
    <xsd:element name="i273e4c9de95495b82bee898e1d119e4" ma:index="23" nillable="true" ma:taxonomy="true" ma:internalName="i273e4c9de95495b82bee898e1d119e4" ma:taxonomyFieldName="Topic" ma:displayName="Topic" ma:fieldId="{2273e4c9-de95-495b-82be-e898e1d119e4}" ma:sspId="0ac1876e-32bf-4158-94e7-cdbcd053a335" ma:termSetId="dce471d3-59d8-4d80-8316-7dd10dc94245" ma:anchorId="00000000-0000-0000-0000-000000000000" ma:open="false" ma:isKeyword="false">
      <xsd:complexType>
        <xsd:sequence>
          <xsd:element ref="pc:Terms" minOccurs="0" maxOccurs="1"/>
        </xsd:sequence>
      </xsd:complexType>
    </xsd:element>
    <xsd:element name="pe003f6b23174764860dd10a5d2d3e7f" ma:index="25" nillable="true" ma:taxonomy="true" ma:internalName="pe003f6b23174764860dd10a5d2d3e7f" ma:taxonomyFieldName="SubTopic" ma:displayName="Sub Topic" ma:fieldId="{9e003f6b-2317-4764-860d-d10a5d2d3e7f}" ma:sspId="0ac1876e-32bf-4158-94e7-cdbcd053a335" ma:termSetId="0a6922ba-4b5d-4066-b81e-7cc61c85a71b" ma:anchorId="00000000-0000-0000-0000-000000000000" ma:open="false" ma:isKeyword="false">
      <xsd:complexType>
        <xsd:sequence>
          <xsd:element ref="pc:Terms" minOccurs="0" maxOccurs="1"/>
        </xsd:sequence>
      </xsd:complexType>
    </xsd:element>
    <xsd:element name="TaxCatchAllLabel" ma:index="26" nillable="true" ma:displayName="Taxonomy Catch All Column1" ma:hidden="true" ma:list="{c380671e-f6c3-419a-ac4e-e7d07b07efc7}" ma:internalName="TaxCatchAllLabel" ma:readOnly="true" ma:showField="CatchAllDataLabel" ma:web="35c8e399-07b8-49e4-91bf-01a20105d4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MeetingDate xmlns="35c8e399-07b8-49e4-91bf-01a20105d4df" xsi:nil="true"/>
    <Year xmlns="35c8e399-07b8-49e4-91bf-01a20105d4df">2022</Year>
    <TaxCatchAll xmlns="35c8e399-07b8-49e4-91bf-01a20105d4df">
      <Value>15</Value>
      <Value>46</Value>
      <Value>385</Value>
      <Value>194</Value>
      <Value>379</Value>
      <Value>38</Value>
    </TaxCatchAll>
    <_dlc_DocId xmlns="35c8e399-07b8-49e4-91bf-01a20105d4df">ESMA34-472-383</_dlc_DocId>
    <_dlc_DocIdUrl xmlns="35c8e399-07b8-49e4-91bf-01a20105d4df">
      <Url>https://sherpa.esma.europa.eu/sites/INIIVM/_layouts/15/DocIdRedir.aspx?ID=ESMA34-472-383</Url>
      <Description>ESMA34-472-383</Description>
    </_dlc_DocIdUrl>
    <k9db3a09612944c49e649e0ff38a506b xmlns="35c8e399-07b8-49e4-91bf-01a20105d4df">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902c1e7c-3957-48c1-abbe-acf26525b3f2</TermId>
        </TermInfo>
      </Terms>
    </k9db3a09612944c49e649e0ff38a506b>
    <o129a376828d47fdaef4d5f5d93fd079 xmlns="35c8e399-07b8-49e4-91bf-01a20105d4df">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o129a376828d47fdaef4d5f5d93fd079>
    <pe003f6b23174764860dd10a5d2d3e7f xmlns="35c8e399-07b8-49e4-91bf-01a20105d4df">
      <Terms xmlns="http://schemas.microsoft.com/office/infopath/2007/PartnerControls">
        <TermInfo xmlns="http://schemas.microsoft.com/office/infopath/2007/PartnerControls">
          <TermName xmlns="http://schemas.microsoft.com/office/infopath/2007/PartnerControls">Supervisory briefing</TermName>
          <TermId xmlns="http://schemas.microsoft.com/office/infopath/2007/PartnerControls">bf46ff00-e6bf-4d5e-8642-e9ec713c4e98</TermId>
        </TermInfo>
      </Terms>
    </pe003f6b23174764860dd10a5d2d3e7f>
    <kdd529b9a5cb416096d62dbd0e6e5583 xmlns="35c8e399-07b8-49e4-91bf-01a20105d4df">
      <Terms xmlns="http://schemas.microsoft.com/office/infopath/2007/PartnerControls">
        <TermInfo xmlns="http://schemas.microsoft.com/office/infopath/2007/PartnerControls">
          <TermName xmlns="http://schemas.microsoft.com/office/infopath/2007/PartnerControls">Investment Management</TermName>
          <TermId xmlns="http://schemas.microsoft.com/office/infopath/2007/PartnerControls">9630b78b-e81c-4ffd-baef-5f8b4aeb7ac5</TermId>
        </TermInfo>
      </Terms>
    </kdd529b9a5cb416096d62dbd0e6e5583>
    <i273e4c9de95495b82bee898e1d119e4 xmlns="35c8e399-07b8-49e4-91bf-01a20105d4df">
      <Terms xmlns="http://schemas.microsoft.com/office/infopath/2007/PartnerControls">
        <TermInfo xmlns="http://schemas.microsoft.com/office/infopath/2007/PartnerControls">
          <TermName xmlns="http://schemas.microsoft.com/office/infopath/2007/PartnerControls">IMSC and OWG work on sustainable finance</TermName>
          <TermId xmlns="http://schemas.microsoft.com/office/infopath/2007/PartnerControls">f6ed5092-971f-4cd6-863c-09ec339003ff</TermId>
        </TermInfo>
      </Terms>
    </i273e4c9de95495b82bee898e1d119e4>
    <oa4fe03ffd8943c1880fe290404e8de7 xmlns="35c8e399-07b8-49e4-91bf-01a20105d4df">
      <Terms xmlns="http://schemas.microsoft.com/office/infopath/2007/PartnerControls">
        <TermInfo xmlns="http://schemas.microsoft.com/office/infopath/2007/PartnerControls">
          <TermName xmlns="http://schemas.microsoft.com/office/infopath/2007/PartnerControls">Note</TermName>
          <TermId xmlns="http://schemas.microsoft.com/office/infopath/2007/PartnerControls">b9e1c92e-303a-4555-86f0-5c711c65937e</TermId>
        </TermInfo>
      </Terms>
    </oa4fe03ffd8943c1880fe290404e8de7>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E65A7-3D2D-4CA9-A73E-6F9C241F28E9}">
  <ds:schemaRefs>
    <ds:schemaRef ds:uri="http://schemas.openxmlformats.org/officeDocument/2006/bibliography"/>
  </ds:schemaRefs>
</ds:datastoreItem>
</file>

<file path=customXml/itemProps2.xml><?xml version="1.0" encoding="utf-8"?>
<ds:datastoreItem xmlns:ds="http://schemas.openxmlformats.org/officeDocument/2006/customXml" ds:itemID="{30B5F0D0-E3B5-4691-8DB3-653E429C4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c8e399-07b8-49e4-91bf-01a20105d4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96BF86-3724-44E7-9F6D-9B5016056B8E}">
  <ds:schemaRefs>
    <ds:schemaRef ds:uri="http://schemas.microsoft.com/sharepoint/events"/>
  </ds:schemaRefs>
</ds:datastoreItem>
</file>

<file path=customXml/itemProps4.xml><?xml version="1.0" encoding="utf-8"?>
<ds:datastoreItem xmlns:ds="http://schemas.openxmlformats.org/officeDocument/2006/customXml" ds:itemID="{7FB30FA8-3D72-457A-9AB5-7BB1703E604A}">
  <ds:schemaRefs>
    <ds:schemaRef ds:uri="http://schemas.microsoft.com/sharepoint/v3/contenttype/forms"/>
  </ds:schemaRefs>
</ds:datastoreItem>
</file>

<file path=customXml/itemProps5.xml><?xml version="1.0" encoding="utf-8"?>
<ds:datastoreItem xmlns:ds="http://schemas.openxmlformats.org/officeDocument/2006/customXml" ds:itemID="{3F37C169-B082-42D7-95A8-39DCDC7C43D3}">
  <ds:schemaRefs>
    <ds:schemaRef ds:uri="http://purl.org/dc/terms/"/>
    <ds:schemaRef ds:uri="http://purl.org/dc/dcmitype/"/>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http://schemas.microsoft.com/office/infopath/2007/PartnerControls"/>
    <ds:schemaRef ds:uri="35c8e399-07b8-49e4-91bf-01a20105d4df"/>
    <ds:schemaRef ds:uri="http://purl.org/dc/elements/1.1/"/>
  </ds:schemaRefs>
</ds:datastoreItem>
</file>

<file path=customXml/itemProps6.xml><?xml version="1.0" encoding="utf-8"?>
<ds:datastoreItem xmlns:ds="http://schemas.openxmlformats.org/officeDocument/2006/customXml" ds:itemID="{C2BBE542-2ED8-4F04-B2FF-D6B68D465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14</Pages>
  <Words>4961</Words>
  <Characters>27809</Characters>
  <Application>Microsoft Office Word</Application>
  <DocSecurity>8</DocSecurity>
  <Lines>231</Lines>
  <Paragraphs>65</Paragraphs>
  <ScaleCrop>false</ScaleCrop>
  <HeadingPairs>
    <vt:vector size="10" baseType="variant">
      <vt:variant>
        <vt:lpstr>Título</vt:lpstr>
      </vt:variant>
      <vt:variant>
        <vt:i4>1</vt:i4>
      </vt:variant>
      <vt:variant>
        <vt:lpstr>Title</vt:lpstr>
      </vt:variant>
      <vt:variant>
        <vt:i4>1</vt:i4>
      </vt:variant>
      <vt:variant>
        <vt:lpstr>Titolo</vt:lpstr>
      </vt:variant>
      <vt:variant>
        <vt:i4>1</vt:i4>
      </vt:variant>
      <vt:variant>
        <vt:lpstr>Titre</vt:lpstr>
      </vt:variant>
      <vt:variant>
        <vt:i4>1</vt:i4>
      </vt:variant>
      <vt:variant>
        <vt:lpstr>Titel</vt:lpstr>
      </vt:variant>
      <vt:variant>
        <vt:i4>1</vt:i4>
      </vt:variant>
    </vt:vector>
  </HeadingPairs>
  <TitlesOfParts>
    <vt:vector size="5" baseType="lpstr">
      <vt:lpstr>Reply form - CP on Guidelines on funds’ names using ESG or sustainability-related terms</vt:lpstr>
      <vt:lpstr>Reply form for the MiFID II/MiFIR Consultation Paper</vt:lpstr>
      <vt:lpstr>20110000</vt:lpstr>
      <vt:lpstr>20110000</vt:lpstr>
      <vt:lpstr>20110000</vt:lpstr>
    </vt:vector>
  </TitlesOfParts>
  <Company>ESMA</Company>
  <LinksUpToDate>false</LinksUpToDate>
  <CharactersWithSpaces>32705</CharactersWithSpaces>
  <SharedDoc>false</SharedDoc>
  <HLinks>
    <vt:vector size="12" baseType="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 CP on Guidelines on funds’ names using ESG or sustainability-related terms</dc:title>
  <dc:creator>ESMA</dc:creator>
  <cp:lastModifiedBy>Laura Palomo Aguado</cp:lastModifiedBy>
  <cp:revision>8</cp:revision>
  <cp:lastPrinted>2023-02-20T10:38:00Z</cp:lastPrinted>
  <dcterms:created xsi:type="dcterms:W3CDTF">2023-02-20T10:06:00Z</dcterms:created>
  <dcterms:modified xsi:type="dcterms:W3CDTF">2023-02-20T14:39:00Z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0x010100DD70E92362DEE14191597B20A60D97FF0500970CD517293225479483743EE25FFF6B</vt:lpwstr>
  </property>
  <property fmtid="{D5CDD505-2E9C-101B-9397-08002B2CF9AE}" pid="3" name="_dlc_DocIdItemGuid">
    <vt:lpwstr>75d40206-4f20-46b1-8861-374bc561b2bb</vt:lpwstr>
  </property>
  <property fmtid="{D5CDD505-2E9C-101B-9397-08002B2CF9AE}" pid="4" name="EsmaAudience">
    <vt:lpwstr>194;#Public|902c1e7c-3957-48c1-abbe-acf26525b3f2</vt:lpwstr>
  </property>
  <property fmtid="{D5CDD505-2E9C-101B-9397-08002B2CF9AE}" pid="5" name="TeamName">
    <vt:lpwstr>38;#Investment Management|9630b78b-e81c-4ffd-baef-5f8b4aeb7ac5</vt:lpwstr>
  </property>
  <property fmtid="{D5CDD505-2E9C-101B-9397-08002B2CF9AE}" pid="6" name="Topic">
    <vt:lpwstr>379;#IMSC and OWG work on sustainable finance|f6ed5092-971f-4cd6-863c-09ec339003ff</vt:lpwstr>
  </property>
  <property fmtid="{D5CDD505-2E9C-101B-9397-08002B2CF9AE}" pid="7" name="ConfidentialityLevel">
    <vt:lpwstr>15;#Regular|07f1e362-856b-423d-bea6-a14079762141</vt:lpwstr>
  </property>
  <property fmtid="{D5CDD505-2E9C-101B-9397-08002B2CF9AE}" pid="8" name="DocumentType">
    <vt:lpwstr>46;#Note|b9e1c92e-303a-4555-86f0-5c711c65937e</vt:lpwstr>
  </property>
  <property fmtid="{D5CDD505-2E9C-101B-9397-08002B2CF9AE}" pid="9" name="SubTopic">
    <vt:lpwstr>385;#Supervisory briefing|bf46ff00-e6bf-4d5e-8642-e9ec713c4e98</vt:lpwstr>
  </property>
</Properties>
</file>