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9"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0A47A351" w:rsidR="00C2682A" w:rsidRPr="00AB6D88" w:rsidRDefault="00B838DB" w:rsidP="00FA5524">
                <w:pPr>
                  <w:rPr>
                    <w:rStyle w:val="PlaceholderText"/>
                    <w:rFonts w:cs="Arial"/>
                  </w:rPr>
                </w:pPr>
                <w:r>
                  <w:rPr>
                    <w:rStyle w:val="PlaceholderText"/>
                    <w:rFonts w:cs="Arial"/>
                  </w:rPr>
                  <w:t>Insight Investment Europe</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2855BC14" w:rsidR="00C2682A" w:rsidRPr="00AB6D88" w:rsidRDefault="00C00B4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838DB">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547F245C" w:rsidR="00C2682A" w:rsidRPr="00AB6D88" w:rsidRDefault="00813D2D" w:rsidP="00FA5524">
                <w:pPr>
                  <w:rPr>
                    <w:rFonts w:cs="Arial"/>
                  </w:rPr>
                </w:pPr>
                <w:r>
                  <w:rPr>
                    <w:rFonts w:cs="Arial"/>
                  </w:rPr>
                  <w:t>Ireland</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77777777" w:rsidR="00B92885" w:rsidRPr="00B92885" w:rsidRDefault="00B92885" w:rsidP="00B92885">
      <w:pPr>
        <w:spacing w:after="160" w:line="259" w:lineRule="auto"/>
        <w:rPr>
          <w:rFonts w:ascii="Calibri" w:eastAsia="Calibri" w:hAnsi="Calibri"/>
          <w:sz w:val="22"/>
          <w:szCs w:val="22"/>
          <w:lang w:eastAsia="en-US"/>
        </w:rPr>
      </w:pPr>
      <w:permStart w:id="1100430741" w:edGrp="everyone"/>
      <w:r w:rsidRPr="00B92885">
        <w:rPr>
          <w:rFonts w:ascii="Calibri" w:eastAsia="Calibri" w:hAnsi="Calibri"/>
          <w:sz w:val="22"/>
          <w:szCs w:val="22"/>
          <w:lang w:eastAsia="en-US"/>
        </w:rPr>
        <w:t>TYPE YOUR TEXT HERE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778B5F39" w14:textId="77777777" w:rsidR="00813D2D" w:rsidRDefault="00813D2D" w:rsidP="00813D2D">
      <w:permStart w:id="1596738700" w:edGrp="everyone"/>
      <w:r>
        <w:t xml:space="preserve">Yes, we support the application of quantitative thresholds to help address any potential greenwashing risk and make labelling clear for investors. </w:t>
      </w:r>
    </w:p>
    <w:p w14:paraId="71429B46" w14:textId="77777777" w:rsidR="00813D2D" w:rsidRDefault="00813D2D" w:rsidP="00813D2D"/>
    <w:p w14:paraId="38D0F8EE" w14:textId="6C9A29CD" w:rsidR="00813D2D" w:rsidRDefault="00813D2D" w:rsidP="00813D2D">
      <w:r>
        <w:t xml:space="preserve">We request that ESMA aligns with other international rules being worked on with regard to labelling regimes. We note that the Financial Conduct Authority in the UK has recently consulted on the same topic, and the US is also considering ESG labelling. </w:t>
      </w:r>
    </w:p>
    <w:p w14:paraId="2DD3B627" w14:textId="77777777" w:rsidR="00813D2D" w:rsidRDefault="00813D2D" w:rsidP="00813D2D"/>
    <w:p w14:paraId="43EA999A" w14:textId="234BCBBC" w:rsidR="00813D2D" w:rsidRDefault="00813D2D" w:rsidP="00813D2D">
      <w:r>
        <w:t xml:space="preserve">We are aware that the European Commission (EC) is looking to review SFDR this year, and we request that ESMA works closely with the EC to ensure that these rules are compatible with the EC’s proposals. </w:t>
      </w:r>
    </w:p>
    <w:p w14:paraId="043F3971" w14:textId="163B2F1E" w:rsidR="00B92885" w:rsidRDefault="00B92885" w:rsidP="00B92885"/>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E7E064A" w14:textId="77777777" w:rsidR="00813D2D" w:rsidRDefault="00813D2D" w:rsidP="00813D2D">
      <w:permStart w:id="1305634831" w:edGrp="everyone"/>
      <w:r>
        <w:t xml:space="preserve">We broadly agree with the 80% threshold calculation as long as the below points are supported to ensure that the full range of funds with environmental or social characteristics or objectives are allowed to use ESG-related terms in the fund name. </w:t>
      </w:r>
    </w:p>
    <w:p w14:paraId="43C435E0" w14:textId="77777777" w:rsidR="00813D2D" w:rsidRPr="009851A0" w:rsidRDefault="00813D2D" w:rsidP="00813D2D">
      <w:pPr>
        <w:pStyle w:val="ListParagraph"/>
        <w:numPr>
          <w:ilvl w:val="0"/>
          <w:numId w:val="41"/>
        </w:numPr>
        <w:spacing w:after="160" w:line="259" w:lineRule="auto"/>
        <w:rPr>
          <w:sz w:val="19"/>
          <w:szCs w:val="19"/>
        </w:rPr>
      </w:pPr>
      <w:r w:rsidRPr="009851A0">
        <w:rPr>
          <w:sz w:val="19"/>
          <w:szCs w:val="19"/>
        </w:rPr>
        <w:t>The 80% threshold should be calculated on the non-cash assets of the portfolio.</w:t>
      </w:r>
    </w:p>
    <w:p w14:paraId="5953A8EA" w14:textId="77777777" w:rsidR="00813D2D" w:rsidRPr="009851A0" w:rsidRDefault="00813D2D" w:rsidP="00813D2D">
      <w:pPr>
        <w:pStyle w:val="ListParagraph"/>
        <w:numPr>
          <w:ilvl w:val="0"/>
          <w:numId w:val="41"/>
        </w:numPr>
        <w:spacing w:after="160" w:line="259" w:lineRule="auto"/>
        <w:rPr>
          <w:sz w:val="19"/>
          <w:szCs w:val="19"/>
        </w:rPr>
      </w:pPr>
      <w:r w:rsidRPr="009851A0">
        <w:rPr>
          <w:sz w:val="19"/>
          <w:szCs w:val="19"/>
        </w:rPr>
        <w:t>There needs to be a clear distinction between how this calculation is applied to funds that set</w:t>
      </w:r>
      <w:r>
        <w:rPr>
          <w:sz w:val="19"/>
          <w:szCs w:val="19"/>
        </w:rPr>
        <w:t xml:space="preserve"> key performance indicators (</w:t>
      </w:r>
      <w:r w:rsidRPr="009851A0">
        <w:rPr>
          <w:sz w:val="19"/>
          <w:szCs w:val="19"/>
        </w:rPr>
        <w:t>KPIs</w:t>
      </w:r>
      <w:r>
        <w:rPr>
          <w:sz w:val="19"/>
          <w:szCs w:val="19"/>
        </w:rPr>
        <w:t>)</w:t>
      </w:r>
      <w:r w:rsidRPr="009851A0">
        <w:rPr>
          <w:sz w:val="19"/>
          <w:szCs w:val="19"/>
        </w:rPr>
        <w:t xml:space="preserve"> at an asset level versus funds that set KPIs at a portfolio level. </w:t>
      </w:r>
    </w:p>
    <w:p w14:paraId="79841157" w14:textId="77777777" w:rsidR="00813D2D" w:rsidRPr="009851A0" w:rsidRDefault="00813D2D" w:rsidP="00813D2D">
      <w:pPr>
        <w:pStyle w:val="ListParagraph"/>
        <w:rPr>
          <w:sz w:val="19"/>
          <w:szCs w:val="19"/>
        </w:rPr>
      </w:pPr>
      <w:r w:rsidRPr="009851A0">
        <w:rPr>
          <w:sz w:val="19"/>
          <w:szCs w:val="19"/>
        </w:rPr>
        <w:t>We believe that a fund setting KPIs at an asset level (for example this could be a fund that require</w:t>
      </w:r>
      <w:r>
        <w:rPr>
          <w:sz w:val="19"/>
          <w:szCs w:val="19"/>
        </w:rPr>
        <w:t>s</w:t>
      </w:r>
      <w:r w:rsidRPr="009851A0">
        <w:rPr>
          <w:sz w:val="19"/>
          <w:szCs w:val="19"/>
        </w:rPr>
        <w:t xml:space="preserve"> assets to be below a given carbon intensity or above a certain ESG score) should ensure that 80% of their non-cash assets meet this requirement. </w:t>
      </w:r>
    </w:p>
    <w:p w14:paraId="5A9A2BDE" w14:textId="77777777" w:rsidR="00813D2D" w:rsidRPr="009851A0" w:rsidRDefault="00813D2D" w:rsidP="00813D2D">
      <w:pPr>
        <w:pStyle w:val="ListParagraph"/>
        <w:rPr>
          <w:sz w:val="19"/>
          <w:szCs w:val="19"/>
        </w:rPr>
      </w:pPr>
      <w:r w:rsidRPr="009851A0">
        <w:rPr>
          <w:sz w:val="19"/>
          <w:szCs w:val="19"/>
        </w:rPr>
        <w:t xml:space="preserve">However, for funds setting KPIs at the portfolio level (for example a fund that targets carbon intensity to be below the benchmark, or that the ESG score is above a benchmark), 100% of the non-cash assets should be considered as meeting the threshold (and therefore meeting the 80% threshold test) as long as the fund itself is meeting these overall portfolio targets. </w:t>
      </w:r>
    </w:p>
    <w:p w14:paraId="73EF5BD5" w14:textId="77777777" w:rsidR="00813D2D" w:rsidRDefault="00813D2D" w:rsidP="00813D2D"/>
    <w:p w14:paraId="6791C7D3" w14:textId="19EEA9A8" w:rsidR="00813D2D" w:rsidRDefault="00813D2D" w:rsidP="00813D2D">
      <w:r>
        <w:t xml:space="preserve">Finally, ESMA should clearly define what is meant by ESG- or impact-related terms. The ESMA supervisory briefing (link </w:t>
      </w:r>
      <w:hyperlink r:id="rId20" w:history="1">
        <w:r w:rsidRPr="008E04A6">
          <w:rPr>
            <w:rStyle w:val="Hyperlink"/>
          </w:rPr>
          <w:t>here</w:t>
        </w:r>
      </w:hyperlink>
      <w:r>
        <w:t xml:space="preserve">) provides a list of terms that are likely to be included, but it also has a catch-all “any other ESG-related terms” which should be defined. </w:t>
      </w:r>
    </w:p>
    <w:p w14:paraId="7BED3590" w14:textId="233D3745" w:rsidR="00B92885" w:rsidRDefault="00B92885" w:rsidP="00B92885"/>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60019626" w14:textId="77777777" w:rsidR="00813D2D" w:rsidRDefault="00813D2D" w:rsidP="00813D2D">
      <w:permStart w:id="347949177" w:edGrp="everyone"/>
      <w:r>
        <w:t xml:space="preserve">While we broadly support the idea of a more stringent threshold for funds having a sustainability-related label, it is difficult for us to comment on what the threshold should be while we are still waiting for the “sustainability investment” definition to be clarified by the European Commission. </w:t>
      </w:r>
    </w:p>
    <w:p w14:paraId="24F15AB4" w14:textId="77777777" w:rsidR="00813D2D" w:rsidRDefault="00813D2D" w:rsidP="00813D2D"/>
    <w:p w14:paraId="37EA1DF3" w14:textId="3AC4A4C1" w:rsidR="00813D2D" w:rsidRDefault="00813D2D" w:rsidP="00813D2D">
      <w:r>
        <w:t xml:space="preserve">We are concerned that firms have spent considerable amount of time and resources on implementing SFDR and launching products based on each firm’s own interpretation, and any new definition might not align with this. Ultimately, the final sustainable investment definition will drive firms views on the appropriate threshold here. </w:t>
      </w:r>
    </w:p>
    <w:p w14:paraId="133A3309" w14:textId="77777777" w:rsidR="00813D2D" w:rsidRDefault="00813D2D" w:rsidP="00813D2D"/>
    <w:p w14:paraId="2B8BCD91" w14:textId="1782E28E" w:rsidR="00813D2D" w:rsidRDefault="00813D2D" w:rsidP="00813D2D">
      <w:r>
        <w:lastRenderedPageBreak/>
        <w:t xml:space="preserve">We request that ESMA defines what is meant by “sustainability-related terms”. Can an ESG-related term be also considered as a sustainability-related term?  </w:t>
      </w:r>
    </w:p>
    <w:p w14:paraId="3689745C" w14:textId="77777777" w:rsidR="00813D2D" w:rsidRDefault="00813D2D" w:rsidP="00813D2D"/>
    <w:p w14:paraId="2D5A08CC" w14:textId="5A317605" w:rsidR="00813D2D" w:rsidRDefault="00813D2D" w:rsidP="00813D2D">
      <w:r>
        <w:t xml:space="preserve">ESMA should also clarify whether the use of the sustainability-related terms is purely restricted in the name of the fund or elsewhere in marketing and other material. We support the restriction applying only to the name of the fund. </w:t>
      </w:r>
    </w:p>
    <w:p w14:paraId="3F3E1763" w14:textId="15790D58" w:rsidR="00B92885" w:rsidRDefault="00B92885" w:rsidP="00B92885"/>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2E473887" w14:textId="77777777" w:rsidR="00813D2D" w:rsidRDefault="00813D2D" w:rsidP="00813D2D">
      <w:permStart w:id="351877901" w:edGrp="everyone"/>
      <w:r>
        <w:t>We believe the proposed threshold approach is sensible as long as it takes into account the different treatment for funds that set KPIs at asset level versus fund level as explained in our answer to question 2.</w:t>
      </w:r>
    </w:p>
    <w:p w14:paraId="5DCA02E0" w14:textId="407D9EF0" w:rsidR="00B92885" w:rsidRDefault="00B92885" w:rsidP="00B92885"/>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F382737" w14:textId="77777777" w:rsidR="00813D2D" w:rsidRDefault="00813D2D" w:rsidP="00813D2D">
      <w:permStart w:id="1539323392" w:edGrp="everyone"/>
      <w:r>
        <w:t>We believe the proposed threshold approach is sensible so long as it takes into account the different treatment for funds that set KPIs at asset level versus fund level, as explained in our answer to question 2.</w:t>
      </w:r>
    </w:p>
    <w:p w14:paraId="6FD37D4D" w14:textId="77777777" w:rsidR="00813D2D" w:rsidRDefault="00813D2D" w:rsidP="00813D2D"/>
    <w:p w14:paraId="184527D9" w14:textId="3380D0B5" w:rsidR="00813D2D" w:rsidRDefault="00813D2D" w:rsidP="00813D2D">
      <w:r>
        <w:t xml:space="preserve">We need a common definition of sustainable investments for the proposed approach to work. </w:t>
      </w:r>
    </w:p>
    <w:p w14:paraId="29ABEB43" w14:textId="567DB290" w:rsidR="00B92885" w:rsidRDefault="00B92885" w:rsidP="00B92885"/>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1B252FD0" w14:textId="77777777" w:rsidR="00813D2D" w:rsidRDefault="00813D2D" w:rsidP="00813D2D">
      <w:permStart w:id="175976681" w:edGrp="everyone"/>
      <w:r>
        <w:t xml:space="preserve">We agree that there should be minimum standards but do not agree that the Paris Alignment Benchmark (PAB) exclusions are the correct ones to use here. </w:t>
      </w:r>
    </w:p>
    <w:p w14:paraId="3D5041FD" w14:textId="77777777" w:rsidR="00813D2D" w:rsidRDefault="00813D2D" w:rsidP="00813D2D">
      <w:r>
        <w:t xml:space="preserve">The PAB exclusions were created for a specific focus of climate related products and should not apply to all ESG- or sustainable-related funds with broader characteristics, including socially focused funds as well. </w:t>
      </w:r>
    </w:p>
    <w:p w14:paraId="68197C98" w14:textId="77777777" w:rsidR="00813D2D" w:rsidRDefault="00813D2D" w:rsidP="00813D2D"/>
    <w:p w14:paraId="7CA8001F" w14:textId="4B005DC0" w:rsidR="00813D2D" w:rsidRDefault="00813D2D" w:rsidP="00813D2D">
      <w:r>
        <w:t xml:space="preserve">The PAB exclusions are overly restrictive and, for example, would exclude the energy sector. Outright exclusion of this sector would prohibit funds from supporting climate transitions. We believe the PAB exclusions are more appropriate for SFDR Article 9(3) funds but should not be expanded to all ESG- or sustainability-related funds. </w:t>
      </w:r>
    </w:p>
    <w:p w14:paraId="5318973D" w14:textId="77777777" w:rsidR="00813D2D" w:rsidRDefault="00813D2D" w:rsidP="00813D2D"/>
    <w:p w14:paraId="5419A2FE" w14:textId="34CDB800" w:rsidR="00813D2D" w:rsidRDefault="00813D2D" w:rsidP="00813D2D">
      <w:r>
        <w:t xml:space="preserve">We believe the minimum standards should align with the </w:t>
      </w:r>
      <w:r w:rsidRPr="00A474E6">
        <w:t>minimum exclusions proposed for Climate Transition Benchmarks, namely tobacco, controversial weapons and UN Global Compact violators, plus the addition of coal, which would align with the current market standard.</w:t>
      </w:r>
      <w:r>
        <w:t xml:space="preserve"> </w:t>
      </w:r>
    </w:p>
    <w:p w14:paraId="4648127F" w14:textId="77777777" w:rsidR="00813D2D" w:rsidRDefault="00813D2D" w:rsidP="00813D2D"/>
    <w:p w14:paraId="768EBC51" w14:textId="716EE4AF" w:rsidR="00813D2D" w:rsidRDefault="00813D2D" w:rsidP="00813D2D">
      <w:r>
        <w:t>We believe that the minimum safeguards should apply to non-cash assets only. For derivatives, we believe it is appropriate for it to apply to single name derivatives, or derivatives with a basket of names up to ten, but we do not believe it should apply to derivatives with single names over ten, broad market indices or macro derivatives (e.g. interest rate and currencies).</w:t>
      </w:r>
    </w:p>
    <w:p w14:paraId="5CDB6BA8" w14:textId="77777777" w:rsidR="00813D2D" w:rsidRPr="00156D34" w:rsidRDefault="00813D2D" w:rsidP="00813D2D">
      <w:r>
        <w:lastRenderedPageBreak/>
        <w:t xml:space="preserve">Finally, the </w:t>
      </w:r>
      <w:r w:rsidRPr="00156D34">
        <w:t xml:space="preserve">minimum standards are only applicable to corporate holdings </w:t>
      </w:r>
      <w:r>
        <w:t xml:space="preserve">(equity or debt) </w:t>
      </w:r>
      <w:r w:rsidRPr="00156D34">
        <w:t xml:space="preserve">and it </w:t>
      </w:r>
      <w:r>
        <w:t xml:space="preserve">is not clear how these would work for </w:t>
      </w:r>
      <w:r w:rsidRPr="00156D34">
        <w:t>non-corporate holdings</w:t>
      </w:r>
      <w:r>
        <w:t>. Further thought and considerations will be needed on this front.</w:t>
      </w:r>
    </w:p>
    <w:p w14:paraId="7C9157FD" w14:textId="5C21E398" w:rsidR="00B92885" w:rsidRDefault="00B92885" w:rsidP="00B92885"/>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5FECDD65" w14:textId="77777777" w:rsidR="00813D2D" w:rsidRPr="0007151B" w:rsidRDefault="00813D2D" w:rsidP="00813D2D">
      <w:pPr>
        <w:jc w:val="both"/>
        <w:rPr>
          <w:i/>
          <w:iCs/>
        </w:rPr>
      </w:pPr>
      <w:permStart w:id="576722602" w:edGrp="everyone"/>
      <w:r w:rsidRPr="0007151B">
        <w:rPr>
          <w:i/>
          <w:iCs/>
        </w:rPr>
        <w:t>Minimum safeguards</w:t>
      </w:r>
    </w:p>
    <w:p w14:paraId="1CF660BB" w14:textId="77777777" w:rsidR="00813D2D" w:rsidRDefault="00813D2D" w:rsidP="00813D2D">
      <w:pPr>
        <w:jc w:val="both"/>
      </w:pPr>
      <w:bookmarkStart w:id="4" w:name="_Hlk127349279"/>
      <w:r>
        <w:t xml:space="preserve">We believe that the minimum standards should apply for long positions in single name derivatives and derivatives with baskets up to ten single names. We believe that short positions that fail to meet the minimum safeguards should be permitted for single name derivatives and baskets with up to ten single names. </w:t>
      </w:r>
    </w:p>
    <w:p w14:paraId="32E9B522" w14:textId="77777777" w:rsidR="00813D2D" w:rsidRDefault="00813D2D" w:rsidP="00813D2D">
      <w:pPr>
        <w:jc w:val="both"/>
      </w:pPr>
      <w:r>
        <w:t xml:space="preserve">We do not believe that the minimum safeguards should be considered for baskets of single names over ten and broad market index-derivatives as well as macro derivatives (e.g. interest rates, currencies etc). </w:t>
      </w:r>
    </w:p>
    <w:bookmarkEnd w:id="4"/>
    <w:p w14:paraId="23CD9CB2" w14:textId="77777777" w:rsidR="00813D2D" w:rsidRDefault="00813D2D" w:rsidP="00813D2D">
      <w:pPr>
        <w:jc w:val="both"/>
        <w:rPr>
          <w:i/>
          <w:iCs/>
        </w:rPr>
      </w:pPr>
    </w:p>
    <w:p w14:paraId="4AD6B2F7" w14:textId="7FE2330E" w:rsidR="00813D2D" w:rsidRPr="0007151B" w:rsidRDefault="00813D2D" w:rsidP="00813D2D">
      <w:pPr>
        <w:jc w:val="both"/>
        <w:rPr>
          <w:i/>
          <w:iCs/>
        </w:rPr>
      </w:pPr>
      <w:r w:rsidRPr="0007151B">
        <w:rPr>
          <w:i/>
          <w:iCs/>
        </w:rPr>
        <w:t xml:space="preserve">Threshold calculations </w:t>
      </w:r>
    </w:p>
    <w:p w14:paraId="299C90DD" w14:textId="77777777" w:rsidR="00813D2D" w:rsidRDefault="00813D2D" w:rsidP="00813D2D">
      <w:pPr>
        <w:jc w:val="both"/>
      </w:pPr>
      <w:r>
        <w:t xml:space="preserve">For the threshold calculations, it might make sense for ESMA to adopt a flexible approach and allow managers to develop a methodology so that industry can create a sensible approach here. Application of thresholds for derivatives is quite complex and needs deeper analysis and further thinking from industry. We would be keen to support the development of international standards here, and we would be keen to ensure that ESMA is in line with other international regimes. </w:t>
      </w:r>
    </w:p>
    <w:p w14:paraId="766E2DAC" w14:textId="77777777" w:rsidR="00813D2D" w:rsidRDefault="00813D2D" w:rsidP="00813D2D">
      <w:pPr>
        <w:jc w:val="both"/>
      </w:pPr>
      <w:r>
        <w:t xml:space="preserve">If, however, a detailed approach is required at this stage, we would </w:t>
      </w:r>
      <w:r w:rsidRPr="00BE233A">
        <w:t>put forward our current thinking below, although as mentioned above more time to develop this further with the industry would be welcomed</w:t>
      </w:r>
      <w:r>
        <w:t>:</w:t>
      </w:r>
    </w:p>
    <w:p w14:paraId="7BDB12F2" w14:textId="77777777" w:rsidR="00813D2D" w:rsidRPr="0007151B" w:rsidRDefault="00813D2D" w:rsidP="00813D2D">
      <w:pPr>
        <w:pStyle w:val="ListParagraph"/>
        <w:numPr>
          <w:ilvl w:val="0"/>
          <w:numId w:val="42"/>
        </w:numPr>
        <w:spacing w:after="160" w:line="259" w:lineRule="auto"/>
        <w:jc w:val="both"/>
        <w:rPr>
          <w:sz w:val="19"/>
          <w:szCs w:val="19"/>
        </w:rPr>
      </w:pPr>
      <w:bookmarkStart w:id="5" w:name="_Hlk127349485"/>
      <w:r w:rsidRPr="0007151B">
        <w:rPr>
          <w:sz w:val="19"/>
          <w:szCs w:val="19"/>
        </w:rPr>
        <w:t xml:space="preserve">Threshold calculations should be passed at both (i) physical assets level only and (ii) combined physical assets and derivatives. This is to ensure that derivatives </w:t>
      </w:r>
      <w:r>
        <w:rPr>
          <w:sz w:val="19"/>
          <w:szCs w:val="19"/>
        </w:rPr>
        <w:t>are</w:t>
      </w:r>
      <w:r w:rsidRPr="0007151B">
        <w:rPr>
          <w:sz w:val="19"/>
          <w:szCs w:val="19"/>
        </w:rPr>
        <w:t xml:space="preserve"> not used as a way to bypass the intended goal.</w:t>
      </w:r>
    </w:p>
    <w:p w14:paraId="1E72CAAC" w14:textId="77777777" w:rsidR="00813D2D" w:rsidRPr="0007151B" w:rsidRDefault="00813D2D" w:rsidP="00813D2D">
      <w:pPr>
        <w:pStyle w:val="ListParagraph"/>
        <w:numPr>
          <w:ilvl w:val="0"/>
          <w:numId w:val="42"/>
        </w:numPr>
        <w:spacing w:after="160" w:line="259" w:lineRule="auto"/>
        <w:jc w:val="both"/>
        <w:rPr>
          <w:sz w:val="19"/>
          <w:szCs w:val="19"/>
        </w:rPr>
      </w:pPr>
      <w:r w:rsidRPr="0007151B">
        <w:rPr>
          <w:sz w:val="19"/>
          <w:szCs w:val="19"/>
        </w:rPr>
        <w:t xml:space="preserve">The derivatives that we believe should be included in the above calculations are single name derivatives and basket of derivatives up to </w:t>
      </w:r>
      <w:r>
        <w:rPr>
          <w:sz w:val="19"/>
          <w:szCs w:val="19"/>
        </w:rPr>
        <w:t xml:space="preserve">ten single </w:t>
      </w:r>
      <w:r w:rsidRPr="0007151B">
        <w:rPr>
          <w:sz w:val="19"/>
          <w:szCs w:val="19"/>
        </w:rPr>
        <w:t>names only. Long positions in these names meeting the ESG-related criteria would count as positive contribution towards the threshold, and short positions in these names would count as a negative contribution towards the threshold.</w:t>
      </w:r>
    </w:p>
    <w:p w14:paraId="34D5EC98" w14:textId="77777777" w:rsidR="00813D2D" w:rsidRPr="0007151B" w:rsidRDefault="00813D2D" w:rsidP="00813D2D">
      <w:pPr>
        <w:pStyle w:val="ListParagraph"/>
        <w:numPr>
          <w:ilvl w:val="0"/>
          <w:numId w:val="42"/>
        </w:numPr>
        <w:spacing w:after="160" w:line="259" w:lineRule="auto"/>
        <w:jc w:val="both"/>
        <w:rPr>
          <w:sz w:val="19"/>
          <w:szCs w:val="19"/>
        </w:rPr>
      </w:pPr>
      <w:r w:rsidRPr="0007151B">
        <w:rPr>
          <w:sz w:val="19"/>
          <w:szCs w:val="19"/>
        </w:rPr>
        <w:t>Any other derivatives</w:t>
      </w:r>
      <w:r>
        <w:rPr>
          <w:sz w:val="19"/>
          <w:szCs w:val="19"/>
        </w:rPr>
        <w:t>,</w:t>
      </w:r>
      <w:r w:rsidRPr="0007151B">
        <w:rPr>
          <w:sz w:val="19"/>
          <w:szCs w:val="19"/>
        </w:rPr>
        <w:t xml:space="preserve"> including baskets with over </w:t>
      </w:r>
      <w:r>
        <w:rPr>
          <w:sz w:val="19"/>
          <w:szCs w:val="19"/>
        </w:rPr>
        <w:t>ten</w:t>
      </w:r>
      <w:r w:rsidRPr="0007151B">
        <w:rPr>
          <w:sz w:val="19"/>
          <w:szCs w:val="19"/>
        </w:rPr>
        <w:t xml:space="preserve"> single</w:t>
      </w:r>
      <w:r>
        <w:rPr>
          <w:sz w:val="19"/>
          <w:szCs w:val="19"/>
        </w:rPr>
        <w:t xml:space="preserve"> </w:t>
      </w:r>
      <w:r w:rsidRPr="0007151B">
        <w:rPr>
          <w:sz w:val="19"/>
          <w:szCs w:val="19"/>
        </w:rPr>
        <w:t xml:space="preserve">names, broad market indices, and macro derivatives (e.g. interest rates, currencies etc) should not be considered towards the threshold calculations. </w:t>
      </w:r>
    </w:p>
    <w:p w14:paraId="0DE26155" w14:textId="77777777" w:rsidR="00813D2D" w:rsidRPr="0007151B" w:rsidRDefault="00813D2D" w:rsidP="00813D2D">
      <w:pPr>
        <w:pStyle w:val="ListParagraph"/>
        <w:numPr>
          <w:ilvl w:val="0"/>
          <w:numId w:val="42"/>
        </w:numPr>
        <w:spacing w:after="160" w:line="259" w:lineRule="auto"/>
        <w:jc w:val="both"/>
        <w:rPr>
          <w:sz w:val="19"/>
          <w:szCs w:val="19"/>
        </w:rPr>
      </w:pPr>
      <w:r w:rsidRPr="0007151B">
        <w:rPr>
          <w:sz w:val="19"/>
          <w:szCs w:val="19"/>
        </w:rPr>
        <w:t xml:space="preserve">Either long or short positions in single names or baskets up to </w:t>
      </w:r>
      <w:r>
        <w:rPr>
          <w:sz w:val="19"/>
          <w:szCs w:val="19"/>
        </w:rPr>
        <w:t>ten</w:t>
      </w:r>
      <w:r w:rsidRPr="0007151B">
        <w:rPr>
          <w:sz w:val="19"/>
          <w:szCs w:val="19"/>
        </w:rPr>
        <w:t xml:space="preserve"> single names, of issuers that do not meet the ESG-criteria would not provide any contribution towards the threshold calculations</w:t>
      </w:r>
      <w:r>
        <w:rPr>
          <w:sz w:val="19"/>
          <w:szCs w:val="19"/>
        </w:rPr>
        <w:t>, either positive or negative</w:t>
      </w:r>
      <w:r w:rsidRPr="0007151B">
        <w:rPr>
          <w:sz w:val="19"/>
          <w:szCs w:val="19"/>
        </w:rPr>
        <w:t>.</w:t>
      </w:r>
    </w:p>
    <w:bookmarkEnd w:id="5"/>
    <w:p w14:paraId="40BCB2C0" w14:textId="77777777" w:rsidR="00813D2D" w:rsidRPr="0007151B" w:rsidRDefault="00813D2D" w:rsidP="00813D2D">
      <w:pPr>
        <w:pStyle w:val="ListParagraph"/>
        <w:numPr>
          <w:ilvl w:val="0"/>
          <w:numId w:val="42"/>
        </w:numPr>
        <w:spacing w:after="160" w:line="259" w:lineRule="auto"/>
        <w:jc w:val="both"/>
        <w:rPr>
          <w:sz w:val="19"/>
          <w:szCs w:val="19"/>
        </w:rPr>
      </w:pPr>
      <w:r w:rsidRPr="0007151B">
        <w:rPr>
          <w:sz w:val="19"/>
          <w:szCs w:val="19"/>
        </w:rPr>
        <w:t>In calculating the thresholds</w:t>
      </w:r>
      <w:r w:rsidRPr="00BA0535">
        <w:rPr>
          <w:sz w:val="19"/>
          <w:szCs w:val="19"/>
        </w:rPr>
        <w:t xml:space="preserve"> for derivatives</w:t>
      </w:r>
      <w:r w:rsidRPr="0007151B">
        <w:rPr>
          <w:sz w:val="19"/>
          <w:szCs w:val="19"/>
        </w:rPr>
        <w:t xml:space="preserve">, we believe the </w:t>
      </w:r>
      <w:r>
        <w:rPr>
          <w:sz w:val="19"/>
          <w:szCs w:val="19"/>
        </w:rPr>
        <w:t xml:space="preserve">delta </w:t>
      </w:r>
      <w:r w:rsidRPr="0007151B">
        <w:rPr>
          <w:sz w:val="19"/>
          <w:szCs w:val="19"/>
        </w:rPr>
        <w:t>amounts</w:t>
      </w:r>
      <w:r>
        <w:rPr>
          <w:sz w:val="19"/>
          <w:szCs w:val="19"/>
        </w:rPr>
        <w:t>, rather than the notional amounts,</w:t>
      </w:r>
      <w:r w:rsidRPr="0007151B">
        <w:rPr>
          <w:sz w:val="19"/>
          <w:szCs w:val="19"/>
        </w:rPr>
        <w:t xml:space="preserve"> should be </w:t>
      </w:r>
      <w:r>
        <w:rPr>
          <w:sz w:val="19"/>
          <w:szCs w:val="19"/>
        </w:rPr>
        <w:t xml:space="preserve">used. The delta amount represents </w:t>
      </w:r>
      <w:r w:rsidRPr="0007151B">
        <w:rPr>
          <w:sz w:val="19"/>
          <w:szCs w:val="19"/>
        </w:rPr>
        <w:t xml:space="preserve">the </w:t>
      </w:r>
      <w:r>
        <w:rPr>
          <w:sz w:val="19"/>
          <w:szCs w:val="19"/>
        </w:rPr>
        <w:t xml:space="preserve">economic capital </w:t>
      </w:r>
      <w:r w:rsidRPr="0007151B">
        <w:rPr>
          <w:sz w:val="19"/>
          <w:szCs w:val="19"/>
        </w:rPr>
        <w:t>at risk</w:t>
      </w:r>
      <w:r>
        <w:rPr>
          <w:sz w:val="19"/>
          <w:szCs w:val="19"/>
        </w:rPr>
        <w:t xml:space="preserve"> </w:t>
      </w:r>
      <w:r w:rsidRPr="00BA0535">
        <w:rPr>
          <w:sz w:val="19"/>
          <w:szCs w:val="19"/>
        </w:rPr>
        <w:t xml:space="preserve">and can be the same as </w:t>
      </w:r>
      <w:r>
        <w:rPr>
          <w:sz w:val="19"/>
          <w:szCs w:val="19"/>
        </w:rPr>
        <w:t xml:space="preserve">the </w:t>
      </w:r>
      <w:r w:rsidRPr="00BA0535">
        <w:rPr>
          <w:sz w:val="19"/>
          <w:szCs w:val="19"/>
        </w:rPr>
        <w:t>notional amounts for vanilla products but will differ from the notional amount for more complex products such as options</w:t>
      </w:r>
      <w:r w:rsidRPr="0007151B">
        <w:rPr>
          <w:sz w:val="19"/>
          <w:szCs w:val="19"/>
        </w:rPr>
        <w:t>. The denominator of the formula should be the fund</w:t>
      </w:r>
      <w:r>
        <w:rPr>
          <w:sz w:val="19"/>
          <w:szCs w:val="19"/>
        </w:rPr>
        <w:t>'s</w:t>
      </w:r>
      <w:r w:rsidRPr="0007151B">
        <w:rPr>
          <w:sz w:val="19"/>
          <w:szCs w:val="19"/>
        </w:rPr>
        <w:t xml:space="preserve"> net asset value. This does mean that is possible for the numerator to be greater than</w:t>
      </w:r>
      <w:r>
        <w:rPr>
          <w:sz w:val="19"/>
          <w:szCs w:val="19"/>
        </w:rPr>
        <w:t xml:space="preserve"> the</w:t>
      </w:r>
      <w:r w:rsidRPr="0007151B">
        <w:rPr>
          <w:sz w:val="19"/>
          <w:szCs w:val="19"/>
        </w:rPr>
        <w:t xml:space="preserve"> denominator and the threshold </w:t>
      </w:r>
      <w:r>
        <w:rPr>
          <w:sz w:val="19"/>
          <w:szCs w:val="19"/>
        </w:rPr>
        <w:t xml:space="preserve">calculation with derivatives </w:t>
      </w:r>
      <w:r w:rsidRPr="0007151B">
        <w:rPr>
          <w:sz w:val="19"/>
          <w:szCs w:val="19"/>
        </w:rPr>
        <w:t xml:space="preserve">to be greater than one. This should be expected as derivatives do introduce leverage. However, the suggestion </w:t>
      </w:r>
      <w:r>
        <w:rPr>
          <w:sz w:val="19"/>
          <w:szCs w:val="19"/>
        </w:rPr>
        <w:t xml:space="preserve">earlier </w:t>
      </w:r>
      <w:r w:rsidRPr="0007151B">
        <w:rPr>
          <w:sz w:val="19"/>
          <w:szCs w:val="19"/>
        </w:rPr>
        <w:t>to ensure that the threshold must also be met on the physical asset level only ensure</w:t>
      </w:r>
      <w:r>
        <w:rPr>
          <w:sz w:val="19"/>
          <w:szCs w:val="19"/>
        </w:rPr>
        <w:t>s</w:t>
      </w:r>
      <w:r w:rsidRPr="0007151B">
        <w:rPr>
          <w:sz w:val="19"/>
          <w:szCs w:val="19"/>
        </w:rPr>
        <w:t xml:space="preserve"> that the leverage is not </w:t>
      </w:r>
      <w:r>
        <w:rPr>
          <w:sz w:val="19"/>
          <w:szCs w:val="19"/>
        </w:rPr>
        <w:t xml:space="preserve">used </w:t>
      </w:r>
      <w:r w:rsidRPr="0007151B">
        <w:rPr>
          <w:sz w:val="19"/>
          <w:szCs w:val="19"/>
        </w:rPr>
        <w:t xml:space="preserve">to bypass the intentions of the thresholds. </w:t>
      </w:r>
    </w:p>
    <w:p w14:paraId="33D374FB" w14:textId="4C973584" w:rsidR="00B92885" w:rsidRDefault="00B92885" w:rsidP="00B92885"/>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50CCD0ED" w14:textId="7DAAD3B9" w:rsidR="00813D2D" w:rsidRPr="00E91F00" w:rsidRDefault="00813D2D" w:rsidP="00813D2D">
      <w:pPr>
        <w:jc w:val="both"/>
      </w:pPr>
      <w:permStart w:id="1071974531" w:edGrp="everyone"/>
      <w:r>
        <w:lastRenderedPageBreak/>
        <w:t xml:space="preserve">We believe delta value, not the notional value should be used. Please see our response to question </w:t>
      </w:r>
      <w:r w:rsidR="00984251">
        <w:t xml:space="preserve">7 </w:t>
      </w:r>
      <w:r>
        <w:t xml:space="preserve">above which elaborates on this further. </w:t>
      </w:r>
    </w:p>
    <w:p w14:paraId="0EC51ABF" w14:textId="2DAC9495" w:rsidR="00B92885" w:rsidRDefault="00B92885" w:rsidP="00B92885"/>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0E85AF4B" w14:textId="77777777" w:rsidR="00984251" w:rsidRPr="00E91F00" w:rsidRDefault="00984251" w:rsidP="00984251">
      <w:pPr>
        <w:jc w:val="both"/>
      </w:pPr>
      <w:permStart w:id="1162834929" w:edGrp="everyone"/>
      <w:r>
        <w:t xml:space="preserve">Please see our response to question 7 above which elaborates on this. </w:t>
      </w:r>
    </w:p>
    <w:p w14:paraId="2ABDF65C" w14:textId="1CEDA084" w:rsidR="00B92885" w:rsidRDefault="00B92885" w:rsidP="00B92885"/>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1C098906" w14:textId="77777777" w:rsidR="00984251" w:rsidRPr="00E91F00" w:rsidRDefault="00984251" w:rsidP="00984251">
      <w:pPr>
        <w:jc w:val="both"/>
      </w:pPr>
      <w:permStart w:id="650455330" w:edGrp="everyone"/>
      <w:r>
        <w:t xml:space="preserve">Agree  </w:t>
      </w:r>
    </w:p>
    <w:p w14:paraId="2BABA8E0" w14:textId="5CA0B340" w:rsidR="00B92885" w:rsidRDefault="00B92885" w:rsidP="00B92885"/>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4EBB8AF0" w:rsidR="00B92885" w:rsidRDefault="00984251" w:rsidP="00B92885">
      <w:permStart w:id="1876589445" w:edGrp="everyone"/>
      <w:r>
        <w:t>No comment.</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6A527E32" w14:textId="77777777" w:rsidR="00984251" w:rsidRDefault="00984251" w:rsidP="00984251">
      <w:permStart w:id="1992309739" w:edGrp="everyone"/>
      <w:r>
        <w:t xml:space="preserve">We agree with requiring impact or impact-related names to be subject to the proposed thresholds as well as require that they make “investments with the intention to generate positive and measurable social or environmental impact alongside a financial return.” </w:t>
      </w:r>
    </w:p>
    <w:p w14:paraId="018F9F88" w14:textId="77777777" w:rsidR="00984251" w:rsidRDefault="00984251" w:rsidP="00984251"/>
    <w:p w14:paraId="79C02438" w14:textId="42924C8D" w:rsidR="00984251" w:rsidRDefault="00984251" w:rsidP="00984251">
      <w:r>
        <w:t xml:space="preserve">We note that in line with the Global Impact Investing Network (GIIN) guidelines, it is important the ESMA does not interpret this in a narrow way to include only “additionality” but permits re-financing too, as per the GIIN principles. </w:t>
      </w:r>
    </w:p>
    <w:p w14:paraId="09441A21" w14:textId="50F88D53" w:rsidR="00B92885" w:rsidRDefault="00B92885" w:rsidP="00B92885"/>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5CADB682" w14:textId="77777777" w:rsidR="00984251" w:rsidRDefault="00984251" w:rsidP="00984251">
      <w:permStart w:id="1423966990" w:edGrp="everyone"/>
      <w:r>
        <w:t xml:space="preserve">We believe the guidelines should permit and support transition activities by ensuring that the minimum safeguard provisions are not too narrow. However, we do not believe a separate transition-related fund name is required. </w:t>
      </w:r>
    </w:p>
    <w:p w14:paraId="61188F70" w14:textId="335B9D49" w:rsidR="00B92885" w:rsidRDefault="00B92885" w:rsidP="00B92885"/>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lastRenderedPageBreak/>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32D876E0" w:rsidR="00B92885" w:rsidRDefault="00984251" w:rsidP="00B92885">
      <w:permStart w:id="1434478937" w:edGrp="everyone"/>
      <w:r>
        <w:t>No comment</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58593575" w14:textId="77777777" w:rsidR="00984251" w:rsidRDefault="00984251" w:rsidP="00984251">
      <w:permStart w:id="489244833" w:edGrp="everyone"/>
      <w:r>
        <w:t xml:space="preserve">We recommend a longer time period than 6 months as considerable work may be needed to either change the way funds are managed or re-naming them, which can require regulator approval and shareholder votes where sufficient time is needed. </w:t>
      </w:r>
    </w:p>
    <w:p w14:paraId="7053EAF1" w14:textId="77777777" w:rsidR="00984251" w:rsidRDefault="00984251" w:rsidP="00984251"/>
    <w:p w14:paraId="7164A703" w14:textId="55C1367B" w:rsidR="00984251" w:rsidRDefault="00984251" w:rsidP="00984251">
      <w:r>
        <w:t xml:space="preserve">We are also aware that the industry may need to make further changes to funds following the SFDR review by the European Commission. We, therefore, request that the ESMA aligns the timing of their proposals with any further adjustments needed from SFDR review to minimise the number changes required. </w:t>
      </w:r>
    </w:p>
    <w:p w14:paraId="3D68124E" w14:textId="77777777" w:rsidR="00984251" w:rsidRDefault="00984251" w:rsidP="00984251">
      <w:r>
        <w:t xml:space="preserve">We also believe that a 3 months' time frame will be too short for new funds that are already in the advanced stages of development and therefore could negatively impact product development and innovation. </w:t>
      </w:r>
    </w:p>
    <w:p w14:paraId="68ED52F5" w14:textId="08EBC7B6" w:rsidR="00B92885" w:rsidRDefault="00B92885" w:rsidP="00B92885"/>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0AED6AF6" w:rsidR="00B92885" w:rsidRDefault="00984251" w:rsidP="00B92885">
      <w:permStart w:id="1766353355" w:edGrp="everyone"/>
      <w:r w:rsidRPr="00BA1F64">
        <w:t xml:space="preserve">No comment </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6B54E34D" w:rsidR="00B92885" w:rsidRDefault="00C00B40" w:rsidP="00B92885">
      <w:permStart w:id="929254269" w:edGrp="everyone"/>
      <w:r>
        <w:t>No comment</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3520651E" w:rsidR="00B92885" w:rsidRDefault="00984251" w:rsidP="00B92885">
      <w:permStart w:id="878708964" w:edGrp="everyone"/>
      <w:r>
        <w:t>No comment</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1"/>
      <w:headerReference w:type="first" r:id="rId22"/>
      <w:footerReference w:type="first" r:id="rId23"/>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B6CC" w14:textId="77777777" w:rsidR="007D4B7E" w:rsidRDefault="007D4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96D9" w14:textId="77777777" w:rsidR="007D4B7E" w:rsidRDefault="007D4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BB220D6"/>
    <w:multiLevelType w:val="hybridMultilevel"/>
    <w:tmpl w:val="E47E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67BCD"/>
    <w:multiLevelType w:val="hybridMultilevel"/>
    <w:tmpl w:val="2A626138"/>
    <w:lvl w:ilvl="0" w:tplc="64B4C7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6"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0"/>
  </w:num>
  <w:num w:numId="3">
    <w:abstractNumId w:val="13"/>
  </w:num>
  <w:num w:numId="4">
    <w:abstractNumId w:val="25"/>
  </w:num>
  <w:num w:numId="5">
    <w:abstractNumId w:val="27"/>
  </w:num>
  <w:num w:numId="6">
    <w:abstractNumId w:val="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2"/>
  </w:num>
  <w:num w:numId="14">
    <w:abstractNumId w:val="24"/>
  </w:num>
  <w:num w:numId="15">
    <w:abstractNumId w:val="12"/>
  </w:num>
  <w:num w:numId="16">
    <w:abstractNumId w:val="1"/>
  </w:num>
  <w:num w:numId="17">
    <w:abstractNumId w:val="16"/>
  </w:num>
  <w:num w:numId="18">
    <w:abstractNumId w:val="17"/>
  </w:num>
  <w:num w:numId="19">
    <w:abstractNumId w:val="19"/>
  </w:num>
  <w:num w:numId="20">
    <w:abstractNumId w:val="28"/>
  </w:num>
  <w:num w:numId="21">
    <w:abstractNumId w:val="38"/>
  </w:num>
  <w:num w:numId="22">
    <w:abstractNumId w:val="26"/>
  </w:num>
  <w:num w:numId="23">
    <w:abstractNumId w:val="11"/>
  </w:num>
  <w:num w:numId="24">
    <w:abstractNumId w:val="31"/>
  </w:num>
  <w:num w:numId="25">
    <w:abstractNumId w:val="30"/>
  </w:num>
  <w:num w:numId="26">
    <w:abstractNumId w:val="21"/>
  </w:num>
  <w:num w:numId="27">
    <w:abstractNumId w:val="34"/>
  </w:num>
  <w:num w:numId="28">
    <w:abstractNumId w:val="40"/>
  </w:num>
  <w:num w:numId="29">
    <w:abstractNumId w:val="9"/>
  </w:num>
  <w:num w:numId="30">
    <w:abstractNumId w:val="2"/>
  </w:num>
  <w:num w:numId="31">
    <w:abstractNumId w:val="23"/>
  </w:num>
  <w:num w:numId="32">
    <w:abstractNumId w:val="22"/>
  </w:num>
  <w:num w:numId="33">
    <w:abstractNumId w:val="36"/>
  </w:num>
  <w:num w:numId="34">
    <w:abstractNumId w:val="35"/>
  </w:num>
  <w:num w:numId="35">
    <w:abstractNumId w:val="5"/>
  </w:num>
  <w:num w:numId="36">
    <w:abstractNumId w:val="37"/>
  </w:num>
  <w:num w:numId="37">
    <w:abstractNumId w:val="22"/>
    <w:lvlOverride w:ilvl="0">
      <w:startOverride w:val="1"/>
    </w:lvlOverride>
  </w:num>
  <w:num w:numId="38">
    <w:abstractNumId w:val="22"/>
  </w:num>
  <w:num w:numId="39">
    <w:abstractNumId w:val="14"/>
  </w:num>
  <w:num w:numId="40">
    <w:abstractNumId w:val="7"/>
  </w:num>
  <w:num w:numId="41">
    <w:abstractNumId w:val="6"/>
  </w:num>
  <w:num w:numId="42">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4B7E"/>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13D2D"/>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251"/>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2C5D"/>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38DB"/>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B40"/>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970C5"/>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sma.europa.eu/sites/default/files/library/esma34-45-1427_supervisory_briefing_on_sustainability_risks_and_disclosure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6.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2630</Words>
  <Characters>14779</Characters>
  <Application>Microsoft Office Word</Application>
  <DocSecurity>8</DocSecurity>
  <Lines>123</Lines>
  <Paragraphs>34</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17375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Indra, Vanaja</cp:lastModifiedBy>
  <cp:revision>3</cp:revision>
  <cp:lastPrinted>2015-02-18T11:01:00Z</cp:lastPrinted>
  <dcterms:created xsi:type="dcterms:W3CDTF">2023-02-14T11:15:00Z</dcterms:created>
  <dcterms:modified xsi:type="dcterms:W3CDTF">2023-02-15T13:26:00Z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SIP_Label_24989e87-1826-4595-8085-9c11e7f9468e_Enabled">
    <vt:lpwstr>true</vt:lpwstr>
  </property>
  <property fmtid="{D5CDD505-2E9C-101B-9397-08002B2CF9AE}" pid="11" name="MSIP_Label_24989e87-1826-4595-8085-9c11e7f9468e_SetDate">
    <vt:lpwstr>2023-01-18T15:36:00Z</vt:lpwstr>
  </property>
  <property fmtid="{D5CDD505-2E9C-101B-9397-08002B2CF9AE}" pid="12" name="MSIP_Label_24989e87-1826-4595-8085-9c11e7f9468e_Method">
    <vt:lpwstr>Privileged</vt:lpwstr>
  </property>
  <property fmtid="{D5CDD505-2E9C-101B-9397-08002B2CF9AE}" pid="13" name="MSIP_Label_24989e87-1826-4595-8085-9c11e7f9468e_Name">
    <vt:lpwstr>Internal Use Only</vt:lpwstr>
  </property>
  <property fmtid="{D5CDD505-2E9C-101B-9397-08002B2CF9AE}" pid="14" name="MSIP_Label_24989e87-1826-4595-8085-9c11e7f9468e_SiteId">
    <vt:lpwstr>106bdeea-f616-4dfc-bc1d-6cbbf45e2011</vt:lpwstr>
  </property>
  <property fmtid="{D5CDD505-2E9C-101B-9397-08002B2CF9AE}" pid="15" name="MSIP_Label_24989e87-1826-4595-8085-9c11e7f9468e_ActionId">
    <vt:lpwstr>f99c69c8-8afa-40f4-a156-9caf9f413bd8</vt:lpwstr>
  </property>
  <property fmtid="{D5CDD505-2E9C-101B-9397-08002B2CF9AE}" pid="16" name="MSIP_Label_24989e87-1826-4595-8085-9c11e7f9468e_ContentBits">
    <vt:lpwstr>0</vt:lpwstr>
  </property>
</Properties>
</file>