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Pr="005B6B12">
        <w:rPr>
          <w:rStyle w:val="Hyperlink"/>
        </w:rPr>
        <w:t>www.esma.europa.eu</w:t>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424E733C" w:rsidR="00C2682A" w:rsidRPr="00AB6D88" w:rsidRDefault="00A01AA7" w:rsidP="00FA5524">
                <w:pPr>
                  <w:rPr>
                    <w:rStyle w:val="PlaceholderText"/>
                    <w:rFonts w:cs="Arial"/>
                  </w:rPr>
                </w:pPr>
                <w:r>
                  <w:rPr>
                    <w:rStyle w:val="PlaceholderText"/>
                    <w:rFonts w:cs="Arial"/>
                  </w:rPr>
                  <w:t>Danish Institute for Human Rights (DIHR)</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4E2BA37B" w:rsidR="00C2682A" w:rsidRPr="00AB6D88" w:rsidRDefault="00F90179"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564A10">
                  <w:rPr>
                    <w:rFonts w:cs="Arial"/>
                  </w:rPr>
                  <w:t>Government, Regulatory and Enforcement</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70AD1C1C" w:rsidR="00C2682A" w:rsidRPr="00AB6D88" w:rsidRDefault="00564A10"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4AD59101" w:rsidR="00C2682A" w:rsidRPr="00AB6D88" w:rsidRDefault="00564A10" w:rsidP="00FA5524">
                <w:pPr>
                  <w:rPr>
                    <w:rFonts w:cs="Arial"/>
                  </w:rPr>
                </w:pPr>
                <w:r>
                  <w:rPr>
                    <w:rFonts w:cs="Arial"/>
                  </w:rPr>
                  <w:t>Denmark</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734AF794" w14:textId="4B894A55" w:rsidR="007817E0" w:rsidRPr="00A9677B" w:rsidRDefault="006500C6" w:rsidP="007817E0">
      <w:pPr>
        <w:spacing w:after="160" w:line="259" w:lineRule="auto"/>
        <w:rPr>
          <w:rFonts w:ascii="Calibri" w:eastAsia="Calibri" w:hAnsi="Calibri"/>
          <w:b/>
          <w:bCs/>
          <w:color w:val="C00000"/>
          <w:sz w:val="22"/>
          <w:szCs w:val="22"/>
          <w:lang w:eastAsia="en-US"/>
        </w:rPr>
      </w:pPr>
      <w:permStart w:id="1100430741" w:edGrp="everyone"/>
      <w:r>
        <w:rPr>
          <w:rFonts w:ascii="Calibri" w:eastAsia="Calibri" w:hAnsi="Calibri"/>
          <w:b/>
          <w:bCs/>
          <w:color w:val="C00000"/>
          <w:sz w:val="22"/>
          <w:szCs w:val="22"/>
          <w:lang w:eastAsia="en-US"/>
        </w:rPr>
        <w:t xml:space="preserve">The </w:t>
      </w:r>
      <w:r w:rsidR="00003CE4" w:rsidRPr="007C3530">
        <w:rPr>
          <w:rFonts w:ascii="Calibri" w:eastAsia="Calibri" w:hAnsi="Calibri"/>
          <w:b/>
          <w:bCs/>
          <w:color w:val="C00000"/>
          <w:sz w:val="22"/>
          <w:szCs w:val="22"/>
          <w:lang w:eastAsia="en-US"/>
        </w:rPr>
        <w:t xml:space="preserve">DIHR endorses ESMA’s conclusion that </w:t>
      </w:r>
      <w:r w:rsidR="007C3530">
        <w:rPr>
          <w:rFonts w:ascii="Calibri" w:eastAsia="Calibri" w:hAnsi="Calibri"/>
          <w:b/>
          <w:bCs/>
          <w:color w:val="C00000"/>
          <w:sz w:val="22"/>
          <w:szCs w:val="22"/>
          <w:lang w:eastAsia="en-US"/>
        </w:rPr>
        <w:t>s</w:t>
      </w:r>
      <w:r w:rsidR="0067047C" w:rsidRPr="00A9677B">
        <w:rPr>
          <w:rFonts w:ascii="Calibri" w:eastAsia="Calibri" w:hAnsi="Calibri"/>
          <w:b/>
          <w:bCs/>
          <w:color w:val="C00000"/>
          <w:sz w:val="22"/>
          <w:szCs w:val="22"/>
          <w:lang w:eastAsia="en-US"/>
        </w:rPr>
        <w:t>tandardis</w:t>
      </w:r>
      <w:r w:rsidR="00FE43F6" w:rsidRPr="00A9677B">
        <w:rPr>
          <w:rFonts w:ascii="Calibri" w:eastAsia="Calibri" w:hAnsi="Calibri"/>
          <w:b/>
          <w:bCs/>
          <w:color w:val="C00000"/>
          <w:sz w:val="22"/>
          <w:szCs w:val="22"/>
          <w:lang w:eastAsia="en-US"/>
        </w:rPr>
        <w:t>ed</w:t>
      </w:r>
      <w:r w:rsidR="0067047C" w:rsidRPr="00A9677B">
        <w:rPr>
          <w:rFonts w:ascii="Calibri" w:eastAsia="Calibri" w:hAnsi="Calibri"/>
          <w:b/>
          <w:bCs/>
          <w:color w:val="C00000"/>
          <w:sz w:val="22"/>
          <w:szCs w:val="22"/>
          <w:lang w:eastAsia="en-US"/>
        </w:rPr>
        <w:t xml:space="preserve"> </w:t>
      </w:r>
      <w:r w:rsidR="007817E0" w:rsidRPr="00A9677B">
        <w:rPr>
          <w:rFonts w:ascii="Calibri" w:eastAsia="Calibri" w:hAnsi="Calibri"/>
          <w:b/>
          <w:bCs/>
          <w:color w:val="C00000"/>
          <w:sz w:val="22"/>
          <w:szCs w:val="22"/>
          <w:lang w:eastAsia="en-US"/>
        </w:rPr>
        <w:t xml:space="preserve">guidelines </w:t>
      </w:r>
      <w:r w:rsidR="00E22CC2" w:rsidRPr="00A9677B">
        <w:rPr>
          <w:rFonts w:ascii="Calibri" w:eastAsia="Calibri" w:hAnsi="Calibri"/>
          <w:b/>
          <w:bCs/>
          <w:color w:val="C00000"/>
          <w:sz w:val="22"/>
          <w:szCs w:val="22"/>
          <w:lang w:eastAsia="en-US"/>
        </w:rPr>
        <w:t xml:space="preserve">and quantitative criteria </w:t>
      </w:r>
      <w:r w:rsidR="007817E0" w:rsidRPr="00A9677B">
        <w:rPr>
          <w:rFonts w:ascii="Calibri" w:eastAsia="Calibri" w:hAnsi="Calibri"/>
          <w:b/>
          <w:bCs/>
          <w:color w:val="C00000"/>
          <w:sz w:val="22"/>
          <w:szCs w:val="22"/>
          <w:lang w:eastAsia="en-US"/>
        </w:rPr>
        <w:t xml:space="preserve">are </w:t>
      </w:r>
      <w:r w:rsidR="0067047C" w:rsidRPr="00A9677B">
        <w:rPr>
          <w:rFonts w:ascii="Calibri" w:eastAsia="Calibri" w:hAnsi="Calibri"/>
          <w:b/>
          <w:bCs/>
          <w:color w:val="C00000"/>
          <w:sz w:val="22"/>
          <w:szCs w:val="22"/>
          <w:lang w:eastAsia="en-US"/>
        </w:rPr>
        <w:t>critical</w:t>
      </w:r>
      <w:r w:rsidR="007817E0" w:rsidRPr="00A9677B">
        <w:rPr>
          <w:rFonts w:ascii="Calibri" w:eastAsia="Calibri" w:hAnsi="Calibri"/>
          <w:b/>
          <w:bCs/>
          <w:color w:val="C00000"/>
          <w:sz w:val="22"/>
          <w:szCs w:val="22"/>
          <w:lang w:eastAsia="en-US"/>
        </w:rPr>
        <w:t xml:space="preserve"> to ensure alignment on </w:t>
      </w:r>
      <w:r w:rsidR="0067047C" w:rsidRPr="00A9677B">
        <w:rPr>
          <w:rFonts w:ascii="Calibri" w:eastAsia="Calibri" w:hAnsi="Calibri"/>
          <w:b/>
          <w:bCs/>
          <w:color w:val="C00000"/>
          <w:sz w:val="22"/>
          <w:szCs w:val="22"/>
          <w:lang w:eastAsia="en-US"/>
        </w:rPr>
        <w:t xml:space="preserve">the </w:t>
      </w:r>
      <w:r w:rsidR="007817E0" w:rsidRPr="00A9677B">
        <w:rPr>
          <w:rFonts w:ascii="Calibri" w:eastAsia="Calibri" w:hAnsi="Calibri"/>
          <w:b/>
          <w:bCs/>
          <w:color w:val="C00000"/>
          <w:sz w:val="22"/>
          <w:szCs w:val="22"/>
          <w:lang w:eastAsia="en-US"/>
        </w:rPr>
        <w:t>use of ESG or sust</w:t>
      </w:r>
      <w:r w:rsidR="0067047C" w:rsidRPr="00A9677B">
        <w:rPr>
          <w:rFonts w:ascii="Calibri" w:eastAsia="Calibri" w:hAnsi="Calibri"/>
          <w:b/>
          <w:bCs/>
          <w:color w:val="C00000"/>
          <w:sz w:val="22"/>
          <w:szCs w:val="22"/>
          <w:lang w:eastAsia="en-US"/>
        </w:rPr>
        <w:t>ainability</w:t>
      </w:r>
      <w:r w:rsidR="007817E0" w:rsidRPr="00A9677B">
        <w:rPr>
          <w:rFonts w:ascii="Calibri" w:eastAsia="Calibri" w:hAnsi="Calibri"/>
          <w:b/>
          <w:bCs/>
          <w:color w:val="C00000"/>
          <w:sz w:val="22"/>
          <w:szCs w:val="22"/>
          <w:lang w:eastAsia="en-US"/>
        </w:rPr>
        <w:t>-related terms in fund names and avoid misleading information</w:t>
      </w:r>
      <w:r w:rsidR="0067047C" w:rsidRPr="00A9677B">
        <w:rPr>
          <w:rFonts w:ascii="Calibri" w:eastAsia="Calibri" w:hAnsi="Calibri"/>
          <w:b/>
          <w:bCs/>
          <w:color w:val="C00000"/>
          <w:sz w:val="22"/>
          <w:szCs w:val="22"/>
          <w:lang w:eastAsia="en-US"/>
        </w:rPr>
        <w:t xml:space="preserve"> about the impacts of a given investment fund</w:t>
      </w:r>
      <w:r w:rsidR="007817E0" w:rsidRPr="00A9677B">
        <w:rPr>
          <w:rFonts w:ascii="Calibri" w:eastAsia="Calibri" w:hAnsi="Calibri"/>
          <w:b/>
          <w:bCs/>
          <w:color w:val="C00000"/>
          <w:sz w:val="22"/>
          <w:szCs w:val="22"/>
          <w:lang w:eastAsia="en-US"/>
        </w:rPr>
        <w:t xml:space="preserve">. </w:t>
      </w:r>
      <w:r w:rsidR="0067047C" w:rsidRPr="00A9677B">
        <w:rPr>
          <w:rFonts w:ascii="Calibri" w:eastAsia="Calibri" w:hAnsi="Calibri"/>
          <w:b/>
          <w:bCs/>
          <w:color w:val="C00000"/>
          <w:sz w:val="22"/>
          <w:szCs w:val="22"/>
          <w:lang w:eastAsia="en-US"/>
        </w:rPr>
        <w:t xml:space="preserve">These Guidelines would </w:t>
      </w:r>
      <w:r w:rsidR="00FE43F6" w:rsidRPr="00A9677B">
        <w:rPr>
          <w:rFonts w:ascii="Calibri" w:eastAsia="Calibri" w:hAnsi="Calibri"/>
          <w:b/>
          <w:bCs/>
          <w:color w:val="C00000"/>
          <w:sz w:val="22"/>
          <w:szCs w:val="22"/>
          <w:lang w:eastAsia="en-US"/>
        </w:rPr>
        <w:t>build</w:t>
      </w:r>
      <w:r w:rsidR="0067047C" w:rsidRPr="00A9677B">
        <w:rPr>
          <w:rFonts w:ascii="Calibri" w:eastAsia="Calibri" w:hAnsi="Calibri"/>
          <w:b/>
          <w:bCs/>
          <w:color w:val="C00000"/>
          <w:sz w:val="22"/>
          <w:szCs w:val="22"/>
          <w:lang w:eastAsia="en-US"/>
        </w:rPr>
        <w:t xml:space="preserve"> t</w:t>
      </w:r>
      <w:r w:rsidR="007817E0" w:rsidRPr="00A9677B">
        <w:rPr>
          <w:rFonts w:ascii="Calibri" w:eastAsia="Calibri" w:hAnsi="Calibri"/>
          <w:b/>
          <w:bCs/>
          <w:color w:val="C00000"/>
          <w:sz w:val="22"/>
          <w:szCs w:val="22"/>
          <w:lang w:eastAsia="en-US"/>
        </w:rPr>
        <w:t xml:space="preserve">ransparency </w:t>
      </w:r>
      <w:r w:rsidR="0067047C" w:rsidRPr="00A9677B">
        <w:rPr>
          <w:rFonts w:ascii="Calibri" w:eastAsia="Calibri" w:hAnsi="Calibri"/>
          <w:b/>
          <w:bCs/>
          <w:color w:val="C00000"/>
          <w:sz w:val="22"/>
          <w:szCs w:val="22"/>
          <w:lang w:eastAsia="en-US"/>
        </w:rPr>
        <w:t xml:space="preserve">and thus </w:t>
      </w:r>
      <w:r w:rsidR="00FE43F6" w:rsidRPr="00A9677B">
        <w:rPr>
          <w:rFonts w:ascii="Calibri" w:eastAsia="Calibri" w:hAnsi="Calibri"/>
          <w:b/>
          <w:bCs/>
          <w:color w:val="C00000"/>
          <w:sz w:val="22"/>
          <w:szCs w:val="22"/>
          <w:lang w:eastAsia="en-US"/>
        </w:rPr>
        <w:t>enhance</w:t>
      </w:r>
      <w:r w:rsidR="0067047C" w:rsidRPr="00A9677B">
        <w:rPr>
          <w:rFonts w:ascii="Calibri" w:eastAsia="Calibri" w:hAnsi="Calibri"/>
          <w:b/>
          <w:bCs/>
          <w:color w:val="C00000"/>
          <w:sz w:val="22"/>
          <w:szCs w:val="22"/>
          <w:lang w:eastAsia="en-US"/>
        </w:rPr>
        <w:t xml:space="preserve"> investor trust in</w:t>
      </w:r>
      <w:r w:rsidR="007817E0" w:rsidRPr="00A9677B">
        <w:rPr>
          <w:rFonts w:ascii="Calibri" w:eastAsia="Calibri" w:hAnsi="Calibri"/>
          <w:b/>
          <w:bCs/>
          <w:color w:val="C00000"/>
          <w:sz w:val="22"/>
          <w:szCs w:val="22"/>
          <w:lang w:eastAsia="en-US"/>
        </w:rPr>
        <w:t xml:space="preserve"> sustainable finance</w:t>
      </w:r>
      <w:r w:rsidR="0067047C" w:rsidRPr="00A9677B">
        <w:rPr>
          <w:rFonts w:ascii="Calibri" w:eastAsia="Calibri" w:hAnsi="Calibri"/>
          <w:b/>
          <w:bCs/>
          <w:color w:val="C00000"/>
          <w:sz w:val="22"/>
          <w:szCs w:val="22"/>
          <w:lang w:eastAsia="en-US"/>
        </w:rPr>
        <w:t xml:space="preserve"> options.</w:t>
      </w:r>
    </w:p>
    <w:p w14:paraId="1B3494E6" w14:textId="31C0A048" w:rsidR="00A9677B" w:rsidRPr="006500C6" w:rsidRDefault="0067047C" w:rsidP="00B54199">
      <w:pPr>
        <w:pStyle w:val="aNEW-Level4"/>
        <w:rPr>
          <w:rFonts w:asciiTheme="minorHAnsi" w:eastAsia="Calibri" w:hAnsiTheme="minorHAnsi" w:cstheme="minorHAnsi"/>
          <w:b/>
          <w:bCs/>
          <w:i w:val="0"/>
          <w:iCs/>
          <w:color w:val="C00000"/>
          <w:sz w:val="22"/>
          <w:szCs w:val="22"/>
          <w:lang w:eastAsia="en-US"/>
        </w:rPr>
      </w:pPr>
      <w:r w:rsidRPr="006500C6">
        <w:rPr>
          <w:rFonts w:asciiTheme="minorHAnsi" w:eastAsia="Calibri" w:hAnsiTheme="minorHAnsi" w:cstheme="minorHAnsi"/>
          <w:b/>
          <w:bCs/>
          <w:i w:val="0"/>
          <w:iCs/>
          <w:color w:val="C00000"/>
          <w:sz w:val="22"/>
          <w:szCs w:val="22"/>
          <w:lang w:eastAsia="en-US"/>
        </w:rPr>
        <w:t xml:space="preserve">The DIHR encourages ESMA to elevate social considerations equally alongside environmental impacts when establishing threshold criteria or minimum safeguards for sustainable funds. </w:t>
      </w:r>
      <w:r w:rsidR="00FE43F6" w:rsidRPr="006500C6">
        <w:rPr>
          <w:rFonts w:asciiTheme="minorHAnsi" w:eastAsia="Calibri" w:hAnsiTheme="minorHAnsi" w:cstheme="minorHAnsi"/>
          <w:b/>
          <w:bCs/>
          <w:i w:val="0"/>
          <w:iCs/>
          <w:color w:val="C00000"/>
          <w:sz w:val="22"/>
          <w:szCs w:val="22"/>
          <w:lang w:eastAsia="en-US"/>
        </w:rPr>
        <w:t>ESG investing has often focused on the ‘E’ at the expense of the ‘S,’ as noted in our responses to subsequent questions below. Inadequate attention to the social aspects of sustainability risks overlooking human rights harms that may arise from environmentally ‘green’ activities</w:t>
      </w:r>
      <w:r w:rsidR="00A9677B" w:rsidRPr="006500C6">
        <w:rPr>
          <w:rFonts w:asciiTheme="minorHAnsi" w:eastAsia="Calibri" w:hAnsiTheme="minorHAnsi" w:cstheme="minorHAnsi"/>
          <w:b/>
          <w:bCs/>
          <w:i w:val="0"/>
          <w:iCs/>
          <w:color w:val="C00000"/>
          <w:sz w:val="22"/>
          <w:szCs w:val="22"/>
          <w:lang w:eastAsia="en-US"/>
        </w:rPr>
        <w:t>,</w:t>
      </w:r>
      <w:r w:rsidR="00FE43F6" w:rsidRPr="006500C6">
        <w:rPr>
          <w:rFonts w:asciiTheme="minorHAnsi" w:eastAsia="Calibri" w:hAnsiTheme="minorHAnsi" w:cstheme="minorHAnsi"/>
          <w:b/>
          <w:bCs/>
          <w:i w:val="0"/>
          <w:iCs/>
          <w:color w:val="C00000"/>
          <w:sz w:val="22"/>
          <w:szCs w:val="22"/>
          <w:lang w:eastAsia="en-US"/>
        </w:rPr>
        <w:t xml:space="preserve"> and thus misleading or confusing investors by classifying funds as ‘sustainable’ without regard to </w:t>
      </w:r>
      <w:r w:rsidR="00E22CC2" w:rsidRPr="006500C6">
        <w:rPr>
          <w:rFonts w:asciiTheme="minorHAnsi" w:eastAsia="Calibri" w:hAnsiTheme="minorHAnsi" w:cstheme="minorHAnsi"/>
          <w:b/>
          <w:bCs/>
          <w:i w:val="0"/>
          <w:iCs/>
          <w:color w:val="C00000"/>
          <w:sz w:val="22"/>
          <w:szCs w:val="22"/>
          <w:lang w:eastAsia="en-US"/>
        </w:rPr>
        <w:t>the totality of their impacts on the full scope of sustainability.  The EU has emphasised repeatedly that ‘sustainability’ is not only about environmental sustainability</w:t>
      </w:r>
      <w:r w:rsidR="00A9677B" w:rsidRPr="006500C6">
        <w:rPr>
          <w:rFonts w:asciiTheme="minorHAnsi" w:eastAsia="Calibri" w:hAnsiTheme="minorHAnsi" w:cstheme="minorHAnsi"/>
          <w:b/>
          <w:bCs/>
          <w:i w:val="0"/>
          <w:iCs/>
          <w:color w:val="C00000"/>
          <w:sz w:val="22"/>
          <w:szCs w:val="22"/>
          <w:lang w:eastAsia="en-US"/>
        </w:rPr>
        <w:t xml:space="preserve"> but also</w:t>
      </w:r>
      <w:r w:rsidR="00E22CC2" w:rsidRPr="006500C6">
        <w:rPr>
          <w:rFonts w:asciiTheme="minorHAnsi" w:eastAsia="Calibri" w:hAnsiTheme="minorHAnsi" w:cstheme="minorHAnsi"/>
          <w:b/>
          <w:bCs/>
          <w:i w:val="0"/>
          <w:iCs/>
          <w:color w:val="C00000"/>
          <w:sz w:val="22"/>
          <w:szCs w:val="22"/>
          <w:lang w:eastAsia="en-US"/>
        </w:rPr>
        <w:t xml:space="preserve"> includes social dimensions</w:t>
      </w:r>
      <w:r w:rsidR="00A9677B" w:rsidRPr="006500C6">
        <w:rPr>
          <w:rFonts w:asciiTheme="minorHAnsi" w:eastAsia="Calibri" w:hAnsiTheme="minorHAnsi" w:cstheme="minorHAnsi"/>
          <w:b/>
          <w:bCs/>
          <w:i w:val="0"/>
          <w:iCs/>
          <w:color w:val="C00000"/>
          <w:sz w:val="22"/>
          <w:szCs w:val="22"/>
          <w:lang w:eastAsia="en-US"/>
        </w:rPr>
        <w:t xml:space="preserve">, </w:t>
      </w:r>
      <w:r w:rsidR="00E22CC2" w:rsidRPr="006500C6">
        <w:rPr>
          <w:rFonts w:asciiTheme="minorHAnsi" w:eastAsia="Calibri" w:hAnsiTheme="minorHAnsi" w:cstheme="minorHAnsi"/>
          <w:b/>
          <w:bCs/>
          <w:i w:val="0"/>
          <w:iCs/>
          <w:color w:val="C00000"/>
          <w:sz w:val="22"/>
          <w:szCs w:val="22"/>
          <w:lang w:eastAsia="en-US"/>
        </w:rPr>
        <w:t>so this is also a question of policy coherence.  The EU’s commitment to a just and fair transition as part of its transition strategy is one example</w:t>
      </w:r>
      <w:r w:rsidR="0089762C" w:rsidRPr="006500C6">
        <w:rPr>
          <w:rFonts w:asciiTheme="minorHAnsi" w:eastAsia="Calibri" w:hAnsiTheme="minorHAnsi" w:cstheme="minorHAnsi"/>
          <w:b/>
          <w:bCs/>
          <w:i w:val="0"/>
          <w:iCs/>
          <w:color w:val="C00000"/>
          <w:sz w:val="22"/>
          <w:szCs w:val="22"/>
          <w:lang w:eastAsia="en-US"/>
        </w:rPr>
        <w:t>, in line with its overall human rights obligations</w:t>
      </w:r>
      <w:r w:rsidR="00E22CC2" w:rsidRPr="006500C6">
        <w:rPr>
          <w:rFonts w:asciiTheme="minorHAnsi" w:eastAsia="Calibri" w:hAnsiTheme="minorHAnsi" w:cstheme="minorHAnsi"/>
          <w:b/>
          <w:bCs/>
          <w:i w:val="0"/>
          <w:iCs/>
          <w:color w:val="C00000"/>
          <w:sz w:val="22"/>
          <w:szCs w:val="22"/>
          <w:lang w:eastAsia="en-US"/>
        </w:rPr>
        <w:t>.</w:t>
      </w:r>
      <w:r w:rsidR="00B26CA3" w:rsidRPr="006500C6">
        <w:rPr>
          <w:rFonts w:asciiTheme="minorHAnsi" w:eastAsia="Calibri" w:hAnsiTheme="minorHAnsi" w:cstheme="minorHAnsi"/>
          <w:b/>
          <w:bCs/>
          <w:i w:val="0"/>
          <w:iCs/>
          <w:color w:val="C00000"/>
          <w:sz w:val="22"/>
          <w:szCs w:val="22"/>
          <w:lang w:eastAsia="en-US"/>
        </w:rPr>
        <w:t xml:space="preserve"> </w:t>
      </w:r>
    </w:p>
    <w:p w14:paraId="0FBB9E9C" w14:textId="09635B4D" w:rsidR="0067047C" w:rsidRPr="00A9677B" w:rsidRDefault="00FE43F6" w:rsidP="007817E0">
      <w:pPr>
        <w:spacing w:after="160" w:line="259" w:lineRule="auto"/>
        <w:rPr>
          <w:rFonts w:ascii="Calibri" w:eastAsia="Calibri" w:hAnsi="Calibri"/>
          <w:b/>
          <w:bCs/>
          <w:color w:val="C00000"/>
          <w:sz w:val="22"/>
          <w:szCs w:val="22"/>
          <w:lang w:eastAsia="en-US"/>
        </w:rPr>
      </w:pPr>
      <w:r w:rsidRPr="00A9677B">
        <w:rPr>
          <w:rFonts w:ascii="Calibri" w:eastAsia="Calibri" w:hAnsi="Calibri"/>
          <w:b/>
          <w:bCs/>
          <w:color w:val="C00000"/>
          <w:sz w:val="22"/>
          <w:szCs w:val="22"/>
          <w:lang w:eastAsia="en-US"/>
        </w:rPr>
        <w:t xml:space="preserve">Beyond the risks to people and planet, </w:t>
      </w:r>
      <w:r w:rsidR="00A9677B" w:rsidRPr="00A9677B">
        <w:rPr>
          <w:rFonts w:ascii="Calibri" w:eastAsia="Calibri" w:hAnsi="Calibri"/>
          <w:b/>
          <w:bCs/>
          <w:color w:val="C00000"/>
          <w:sz w:val="22"/>
          <w:szCs w:val="22"/>
          <w:lang w:eastAsia="en-US"/>
        </w:rPr>
        <w:t>failure to account for social dimensions</w:t>
      </w:r>
      <w:r w:rsidRPr="00A9677B">
        <w:rPr>
          <w:rFonts w:ascii="Calibri" w:eastAsia="Calibri" w:hAnsi="Calibri"/>
          <w:b/>
          <w:bCs/>
          <w:color w:val="C00000"/>
          <w:sz w:val="22"/>
          <w:szCs w:val="22"/>
          <w:lang w:eastAsia="en-US"/>
        </w:rPr>
        <w:t xml:space="preserve"> also poses financial risks to funds: Overlooking social impacts in favour of environmentally focused sustainability criteria could lead fund managers to reduce their estimation of exposure to social-related risks, thus giving a false sense of security in their investments, and distort market valuations by failing to reflect the costs associated with human rights harms.</w:t>
      </w:r>
      <w:r w:rsidR="00B26CA3" w:rsidRPr="00A9677B">
        <w:rPr>
          <w:rFonts w:ascii="Calibri" w:eastAsia="Calibri" w:hAnsi="Calibri"/>
          <w:b/>
          <w:bCs/>
          <w:color w:val="C00000"/>
          <w:sz w:val="22"/>
          <w:szCs w:val="22"/>
          <w:lang w:eastAsia="en-US"/>
        </w:rPr>
        <w:t xml:space="preserve"> </w:t>
      </w:r>
    </w:p>
    <w:p w14:paraId="173FB833" w14:textId="3998B893" w:rsidR="00FE43F6" w:rsidRPr="00A9677B" w:rsidRDefault="00FE43F6" w:rsidP="007817E0">
      <w:pPr>
        <w:spacing w:after="160" w:line="259" w:lineRule="auto"/>
        <w:rPr>
          <w:rFonts w:ascii="Calibri" w:eastAsia="Calibri" w:hAnsi="Calibri"/>
          <w:b/>
          <w:bCs/>
          <w:color w:val="C00000"/>
          <w:sz w:val="22"/>
          <w:szCs w:val="22"/>
          <w:lang w:eastAsia="en-US"/>
        </w:rPr>
      </w:pPr>
      <w:r w:rsidRPr="00A9677B">
        <w:rPr>
          <w:rFonts w:ascii="Calibri" w:eastAsia="Calibri" w:hAnsi="Calibri"/>
          <w:b/>
          <w:bCs/>
          <w:color w:val="C00000"/>
          <w:sz w:val="22"/>
          <w:szCs w:val="22"/>
          <w:lang w:eastAsia="en-US"/>
        </w:rPr>
        <w:t xml:space="preserve">We </w:t>
      </w:r>
      <w:r w:rsidR="00E22CC2" w:rsidRPr="00A9677B">
        <w:rPr>
          <w:rFonts w:ascii="Calibri" w:eastAsia="Calibri" w:hAnsi="Calibri"/>
          <w:b/>
          <w:bCs/>
          <w:color w:val="C00000"/>
          <w:sz w:val="22"/>
          <w:szCs w:val="22"/>
          <w:lang w:eastAsia="en-US"/>
        </w:rPr>
        <w:t xml:space="preserve">also </w:t>
      </w:r>
      <w:r w:rsidRPr="00A9677B">
        <w:rPr>
          <w:rFonts w:ascii="Calibri" w:eastAsia="Calibri" w:hAnsi="Calibri"/>
          <w:b/>
          <w:bCs/>
          <w:color w:val="C00000"/>
          <w:sz w:val="22"/>
          <w:szCs w:val="22"/>
          <w:lang w:eastAsia="en-US"/>
        </w:rPr>
        <w:t>encourage ESMA to make explicit reference to the UN Guiding Principles on Business and Human Rights (UNGPs) as well as the OECD Guidelines for Multinational Enterprises to ensure that funds claiming to be ESG or sustainability-focus</w:t>
      </w:r>
      <w:r w:rsidR="00A9677B" w:rsidRPr="00A9677B">
        <w:rPr>
          <w:rFonts w:ascii="Calibri" w:eastAsia="Calibri" w:hAnsi="Calibri"/>
          <w:b/>
          <w:bCs/>
          <w:color w:val="C00000"/>
          <w:sz w:val="22"/>
          <w:szCs w:val="22"/>
          <w:lang w:eastAsia="en-US"/>
        </w:rPr>
        <w:t>ed</w:t>
      </w:r>
      <w:r w:rsidRPr="00A9677B">
        <w:rPr>
          <w:rFonts w:ascii="Calibri" w:eastAsia="Calibri" w:hAnsi="Calibri"/>
          <w:b/>
          <w:bCs/>
          <w:color w:val="C00000"/>
          <w:sz w:val="22"/>
          <w:szCs w:val="22"/>
          <w:lang w:eastAsia="en-US"/>
        </w:rPr>
        <w:t xml:space="preserve"> align with internationally recognised standards on responsible business conduct</w:t>
      </w:r>
      <w:r w:rsidR="00B26CA3" w:rsidRPr="00A9677B">
        <w:rPr>
          <w:rFonts w:ascii="Calibri" w:eastAsia="Calibri" w:hAnsi="Calibri"/>
          <w:b/>
          <w:bCs/>
          <w:color w:val="C00000"/>
          <w:sz w:val="22"/>
          <w:szCs w:val="22"/>
          <w:lang w:eastAsia="en-US"/>
        </w:rPr>
        <w:t xml:space="preserve">.  ESMA will recognise that these </w:t>
      </w:r>
      <w:r w:rsidR="00003CE4" w:rsidRPr="007C3530">
        <w:rPr>
          <w:rFonts w:ascii="Calibri" w:eastAsia="Calibri" w:hAnsi="Calibri"/>
          <w:b/>
          <w:bCs/>
          <w:color w:val="C00000"/>
          <w:sz w:val="22"/>
          <w:szCs w:val="22"/>
          <w:lang w:eastAsia="en-US"/>
        </w:rPr>
        <w:t xml:space="preserve">international </w:t>
      </w:r>
      <w:r w:rsidR="00B26CA3" w:rsidRPr="00A9677B">
        <w:rPr>
          <w:rFonts w:ascii="Calibri" w:eastAsia="Calibri" w:hAnsi="Calibri"/>
          <w:b/>
          <w:bCs/>
          <w:color w:val="C00000"/>
          <w:sz w:val="22"/>
          <w:szCs w:val="22"/>
          <w:lang w:eastAsia="en-US"/>
        </w:rPr>
        <w:t xml:space="preserve">standards are incorporated into other EU financial regulations, including the Taxonomy Regulation, </w:t>
      </w:r>
      <w:r w:rsidR="00FA6908" w:rsidRPr="00A9677B">
        <w:rPr>
          <w:rFonts w:ascii="Calibri" w:eastAsia="Calibri" w:hAnsi="Calibri"/>
          <w:b/>
          <w:bCs/>
          <w:color w:val="C00000"/>
          <w:sz w:val="22"/>
          <w:szCs w:val="22"/>
          <w:lang w:eastAsia="en-US"/>
        </w:rPr>
        <w:t>the SFDR RTS and other relevant legislation, including the Corporate Sustainability Reporting Directive</w:t>
      </w:r>
      <w:r w:rsidR="00A9677B" w:rsidRPr="00A9677B">
        <w:rPr>
          <w:rFonts w:ascii="Calibri" w:eastAsia="Calibri" w:hAnsi="Calibri"/>
          <w:b/>
          <w:bCs/>
          <w:color w:val="C00000"/>
          <w:sz w:val="22"/>
          <w:szCs w:val="22"/>
          <w:lang w:eastAsia="en-US"/>
        </w:rPr>
        <w:t>,</w:t>
      </w:r>
      <w:r w:rsidR="00FA6908" w:rsidRPr="00A9677B">
        <w:rPr>
          <w:rFonts w:ascii="Calibri" w:eastAsia="Calibri" w:hAnsi="Calibri"/>
          <w:b/>
          <w:bCs/>
          <w:color w:val="C00000"/>
          <w:sz w:val="22"/>
          <w:szCs w:val="22"/>
          <w:lang w:eastAsia="en-US"/>
        </w:rPr>
        <w:t xml:space="preserve"> </w:t>
      </w:r>
      <w:r w:rsidR="00B26CA3" w:rsidRPr="00A9677B">
        <w:rPr>
          <w:rFonts w:ascii="Calibri" w:eastAsia="Calibri" w:hAnsi="Calibri"/>
          <w:b/>
          <w:bCs/>
          <w:color w:val="C00000"/>
          <w:sz w:val="22"/>
          <w:szCs w:val="22"/>
          <w:lang w:eastAsia="en-US"/>
        </w:rPr>
        <w:t>thus reinforcing policy coherence across instruments</w:t>
      </w:r>
      <w:r w:rsidRPr="00A9677B">
        <w:rPr>
          <w:rFonts w:ascii="Calibri" w:eastAsia="Calibri" w:hAnsi="Calibri"/>
          <w:b/>
          <w:bCs/>
          <w:color w:val="C00000"/>
          <w:sz w:val="22"/>
          <w:szCs w:val="22"/>
          <w:lang w:eastAsia="en-US"/>
        </w:rPr>
        <w:t>.</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369E2675" w14:textId="211E768E" w:rsidR="00E7368C" w:rsidRPr="00E7368C" w:rsidRDefault="004978C4" w:rsidP="00E7368C">
      <w:pPr>
        <w:rPr>
          <w:b/>
          <w:bCs/>
          <w:color w:val="C00000"/>
        </w:rPr>
      </w:pPr>
      <w:permStart w:id="1596738700" w:edGrp="everyone"/>
      <w:r w:rsidRPr="00E7368C">
        <w:rPr>
          <w:b/>
          <w:bCs/>
          <w:color w:val="C00000"/>
        </w:rPr>
        <w:t xml:space="preserve">The DIHR agrees that ESMA should introduce quantitative thresholds to assess the use of ESG or sustainability in funds’ names. </w:t>
      </w:r>
      <w:r w:rsidR="00E7368C">
        <w:rPr>
          <w:b/>
          <w:bCs/>
          <w:color w:val="C00000"/>
        </w:rPr>
        <w:t>Transparent</w:t>
      </w:r>
      <w:r w:rsidR="00FA6908" w:rsidRPr="00A9677B">
        <w:rPr>
          <w:b/>
          <w:bCs/>
          <w:color w:val="C00000"/>
        </w:rPr>
        <w:t>, quantitative</w:t>
      </w:r>
      <w:r w:rsidR="00E7368C" w:rsidRPr="00A9677B">
        <w:rPr>
          <w:b/>
          <w:bCs/>
          <w:color w:val="C00000"/>
        </w:rPr>
        <w:t xml:space="preserve"> criteria </w:t>
      </w:r>
      <w:r w:rsidR="00E7368C" w:rsidRPr="00E7368C">
        <w:rPr>
          <w:b/>
          <w:bCs/>
          <w:color w:val="C00000"/>
        </w:rPr>
        <w:t>governing the use of ESG</w:t>
      </w:r>
      <w:r w:rsidR="008459AC">
        <w:rPr>
          <w:b/>
          <w:bCs/>
          <w:color w:val="C00000"/>
        </w:rPr>
        <w:t>-</w:t>
      </w:r>
      <w:r w:rsidR="00E7368C" w:rsidRPr="00E7368C">
        <w:rPr>
          <w:b/>
          <w:bCs/>
          <w:color w:val="C00000"/>
        </w:rPr>
        <w:t xml:space="preserve"> and</w:t>
      </w:r>
      <w:r w:rsidRPr="00E7368C">
        <w:rPr>
          <w:b/>
          <w:bCs/>
          <w:color w:val="C00000"/>
        </w:rPr>
        <w:t xml:space="preserve"> </w:t>
      </w:r>
      <w:r w:rsidR="00E7368C" w:rsidRPr="00E7368C">
        <w:rPr>
          <w:b/>
          <w:bCs/>
          <w:color w:val="C00000"/>
        </w:rPr>
        <w:t>s</w:t>
      </w:r>
      <w:r w:rsidRPr="00E7368C">
        <w:rPr>
          <w:b/>
          <w:bCs/>
          <w:color w:val="C00000"/>
        </w:rPr>
        <w:t>ustainability</w:t>
      </w:r>
      <w:r w:rsidR="008459AC">
        <w:rPr>
          <w:b/>
          <w:bCs/>
          <w:color w:val="C00000"/>
        </w:rPr>
        <w:t xml:space="preserve">-related terms </w:t>
      </w:r>
      <w:r w:rsidR="00E7368C">
        <w:rPr>
          <w:b/>
          <w:bCs/>
          <w:color w:val="C00000"/>
        </w:rPr>
        <w:t>will help avoid ‘greenwashing’ or misleading portrayals of social impacts</w:t>
      </w:r>
      <w:r w:rsidR="008459AC">
        <w:rPr>
          <w:b/>
          <w:bCs/>
          <w:color w:val="C00000"/>
        </w:rPr>
        <w:t xml:space="preserve">, building trust among investors and ensuring that sustainable finance lives up to its name. ESMA criteria </w:t>
      </w:r>
      <w:r w:rsidR="00E7368C">
        <w:rPr>
          <w:b/>
          <w:bCs/>
          <w:color w:val="C00000"/>
        </w:rPr>
        <w:t>can</w:t>
      </w:r>
      <w:r w:rsidRPr="00E7368C">
        <w:rPr>
          <w:b/>
          <w:bCs/>
          <w:color w:val="C00000"/>
        </w:rPr>
        <w:t xml:space="preserve"> </w:t>
      </w:r>
      <w:r w:rsidR="008459AC">
        <w:rPr>
          <w:b/>
          <w:bCs/>
          <w:color w:val="C00000"/>
        </w:rPr>
        <w:t>drive</w:t>
      </w:r>
      <w:r w:rsidR="00E7368C" w:rsidRPr="00E7368C">
        <w:rPr>
          <w:b/>
          <w:bCs/>
          <w:color w:val="C00000"/>
        </w:rPr>
        <w:t>:</w:t>
      </w:r>
    </w:p>
    <w:p w14:paraId="5B1F35AA" w14:textId="0EBC7D9A" w:rsidR="00E7368C" w:rsidRDefault="00E7368C" w:rsidP="00E7368C">
      <w:pPr>
        <w:pStyle w:val="ListParagraph"/>
        <w:numPr>
          <w:ilvl w:val="0"/>
          <w:numId w:val="43"/>
        </w:numPr>
        <w:rPr>
          <w:b/>
          <w:bCs/>
          <w:color w:val="C00000"/>
        </w:rPr>
      </w:pPr>
      <w:r>
        <w:rPr>
          <w:b/>
          <w:bCs/>
          <w:color w:val="C00000"/>
        </w:rPr>
        <w:t>Clarity among fund managers as to which types of activities and which proportions of investments qualify a fund as ‘sustainable’ or ‘ESG’-focused;</w:t>
      </w:r>
    </w:p>
    <w:p w14:paraId="62FD055E" w14:textId="00800743" w:rsidR="00E7368C" w:rsidRPr="00E7368C" w:rsidRDefault="00E7368C" w:rsidP="00E7368C">
      <w:pPr>
        <w:pStyle w:val="ListParagraph"/>
        <w:numPr>
          <w:ilvl w:val="0"/>
          <w:numId w:val="43"/>
        </w:numPr>
        <w:rPr>
          <w:b/>
          <w:bCs/>
          <w:color w:val="C00000"/>
        </w:rPr>
      </w:pPr>
      <w:r w:rsidRPr="00E7368C">
        <w:rPr>
          <w:b/>
          <w:bCs/>
          <w:color w:val="C00000"/>
        </w:rPr>
        <w:t>Standardisation of sustainability and ESG thresholds across European market</w:t>
      </w:r>
      <w:r>
        <w:rPr>
          <w:b/>
          <w:bCs/>
          <w:color w:val="C00000"/>
        </w:rPr>
        <w:t>s</w:t>
      </w:r>
      <w:r w:rsidRPr="00E7368C">
        <w:rPr>
          <w:b/>
          <w:bCs/>
          <w:color w:val="C00000"/>
        </w:rPr>
        <w:t>;</w:t>
      </w:r>
    </w:p>
    <w:p w14:paraId="77756C87" w14:textId="417DD3F5" w:rsidR="00E7368C" w:rsidRDefault="00E7368C" w:rsidP="00E7368C">
      <w:pPr>
        <w:pStyle w:val="ListParagraph"/>
        <w:numPr>
          <w:ilvl w:val="0"/>
          <w:numId w:val="43"/>
        </w:numPr>
        <w:rPr>
          <w:b/>
          <w:bCs/>
          <w:color w:val="C00000"/>
        </w:rPr>
      </w:pPr>
      <w:r>
        <w:rPr>
          <w:b/>
          <w:bCs/>
          <w:color w:val="C00000"/>
        </w:rPr>
        <w:t>Honest, fair</w:t>
      </w:r>
      <w:r w:rsidR="00375D5E">
        <w:rPr>
          <w:b/>
          <w:bCs/>
          <w:color w:val="C00000"/>
        </w:rPr>
        <w:t>,</w:t>
      </w:r>
      <w:r w:rsidR="008459AC">
        <w:rPr>
          <w:b/>
          <w:bCs/>
          <w:color w:val="C00000"/>
        </w:rPr>
        <w:t xml:space="preserve"> and accurate</w:t>
      </w:r>
      <w:r>
        <w:rPr>
          <w:b/>
          <w:bCs/>
          <w:color w:val="C00000"/>
        </w:rPr>
        <w:t xml:space="preserve"> communications with investors to avoid misunderstanding </w:t>
      </w:r>
      <w:r w:rsidR="008459AC">
        <w:rPr>
          <w:b/>
          <w:bCs/>
          <w:color w:val="C00000"/>
        </w:rPr>
        <w:t>regarding</w:t>
      </w:r>
      <w:r>
        <w:rPr>
          <w:b/>
          <w:bCs/>
          <w:color w:val="C00000"/>
        </w:rPr>
        <w:t xml:space="preserve"> </w:t>
      </w:r>
      <w:r w:rsidR="008459AC">
        <w:rPr>
          <w:b/>
          <w:bCs/>
          <w:color w:val="C00000"/>
        </w:rPr>
        <w:t xml:space="preserve">an investment’s </w:t>
      </w:r>
      <w:r>
        <w:rPr>
          <w:b/>
          <w:bCs/>
          <w:color w:val="C00000"/>
        </w:rPr>
        <w:t>environmental and social impacts</w:t>
      </w:r>
      <w:r w:rsidR="008459AC">
        <w:rPr>
          <w:b/>
          <w:bCs/>
          <w:color w:val="C00000"/>
        </w:rPr>
        <w:t>; and</w:t>
      </w:r>
    </w:p>
    <w:p w14:paraId="19432425" w14:textId="328BF624" w:rsidR="00564A10" w:rsidRPr="008459AC" w:rsidRDefault="008459AC" w:rsidP="006232B9">
      <w:pPr>
        <w:pStyle w:val="ListParagraph"/>
        <w:numPr>
          <w:ilvl w:val="0"/>
          <w:numId w:val="41"/>
        </w:numPr>
        <w:spacing w:after="160" w:line="256" w:lineRule="auto"/>
        <w:rPr>
          <w:b/>
          <w:bCs/>
          <w:color w:val="7030A0"/>
          <w:lang w:val="en-US"/>
        </w:rPr>
      </w:pPr>
      <w:r w:rsidRPr="008459AC">
        <w:rPr>
          <w:b/>
          <w:bCs/>
          <w:color w:val="C00000"/>
        </w:rPr>
        <w:t xml:space="preserve">Clearer understanding of </w:t>
      </w:r>
      <w:r w:rsidR="00DD2E89">
        <w:rPr>
          <w:b/>
          <w:bCs/>
          <w:color w:val="C00000"/>
        </w:rPr>
        <w:t xml:space="preserve">overall </w:t>
      </w:r>
      <w:r w:rsidRPr="008459AC">
        <w:rPr>
          <w:b/>
          <w:bCs/>
          <w:color w:val="C00000"/>
        </w:rPr>
        <w:t>financial flows towards sustainable activities, thus enabling progress towards sustainable finance.</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54EE3980" w:rsidR="00B92885" w:rsidRDefault="00B92885" w:rsidP="00B92885">
      <w:permStart w:id="1305634831" w:edGrp="everyone"/>
      <w:r>
        <w:t>TYPE YOUR TEXT HERE</w:t>
      </w:r>
    </w:p>
    <w:p w14:paraId="175A2775" w14:textId="3DCF25B1" w:rsidR="00F17076" w:rsidRPr="00A9677B" w:rsidRDefault="0022746E" w:rsidP="00F17076">
      <w:pPr>
        <w:rPr>
          <w:b/>
          <w:bCs/>
          <w:color w:val="C00000"/>
        </w:rPr>
      </w:pPr>
      <w:r>
        <w:rPr>
          <w:b/>
          <w:bCs/>
          <w:color w:val="C00000"/>
        </w:rPr>
        <w:t xml:space="preserve">The </w:t>
      </w:r>
      <w:r w:rsidR="00F17076">
        <w:rPr>
          <w:b/>
          <w:bCs/>
          <w:color w:val="C00000"/>
        </w:rPr>
        <w:t xml:space="preserve">DIHR agrees with the </w:t>
      </w:r>
      <w:r w:rsidR="007C3530">
        <w:rPr>
          <w:b/>
          <w:bCs/>
          <w:color w:val="C00000"/>
        </w:rPr>
        <w:t xml:space="preserve">proposed </w:t>
      </w:r>
      <w:r w:rsidR="00F17076">
        <w:rPr>
          <w:b/>
          <w:bCs/>
          <w:color w:val="C00000"/>
        </w:rPr>
        <w:t xml:space="preserve">80% threshold.  </w:t>
      </w:r>
      <w:r w:rsidR="008459AC" w:rsidRPr="00375D5E">
        <w:rPr>
          <w:b/>
          <w:bCs/>
          <w:color w:val="C00000"/>
        </w:rPr>
        <w:t xml:space="preserve">The proposed threshold </w:t>
      </w:r>
      <w:r w:rsidR="00375D5E" w:rsidRPr="00375D5E">
        <w:rPr>
          <w:b/>
          <w:bCs/>
          <w:color w:val="C00000"/>
        </w:rPr>
        <w:t>is a reasonable criterion to</w:t>
      </w:r>
      <w:r w:rsidR="008459AC" w:rsidRPr="00375D5E">
        <w:rPr>
          <w:b/>
          <w:bCs/>
          <w:color w:val="C00000"/>
        </w:rPr>
        <w:t xml:space="preserve"> ensure that funds marketing themselves as ES</w:t>
      </w:r>
      <w:r w:rsidR="00CD0AFE">
        <w:rPr>
          <w:b/>
          <w:bCs/>
          <w:color w:val="C00000"/>
        </w:rPr>
        <w:t>G</w:t>
      </w:r>
      <w:r w:rsidR="008459AC" w:rsidRPr="00375D5E">
        <w:rPr>
          <w:b/>
          <w:bCs/>
          <w:color w:val="C00000"/>
        </w:rPr>
        <w:t xml:space="preserve"> or impact-focused </w:t>
      </w:r>
      <w:r w:rsidR="00375D5E" w:rsidRPr="00375D5E">
        <w:rPr>
          <w:b/>
          <w:bCs/>
          <w:color w:val="C00000"/>
        </w:rPr>
        <w:t xml:space="preserve">direct an adequate proportion of their assets to investments supporting that </w:t>
      </w:r>
      <w:r w:rsidR="00E11C62">
        <w:rPr>
          <w:b/>
          <w:bCs/>
          <w:color w:val="C00000"/>
        </w:rPr>
        <w:t xml:space="preserve">claim and, </w:t>
      </w:r>
      <w:r w:rsidR="00E11C62" w:rsidRPr="00E11C62">
        <w:rPr>
          <w:b/>
          <w:bCs/>
          <w:color w:val="C00000"/>
        </w:rPr>
        <w:t xml:space="preserve">thus, </w:t>
      </w:r>
      <w:r w:rsidR="00E11C62">
        <w:rPr>
          <w:b/>
          <w:bCs/>
          <w:color w:val="C00000"/>
        </w:rPr>
        <w:t>align with t</w:t>
      </w:r>
      <w:r w:rsidR="00E11C62" w:rsidRPr="00E11C62">
        <w:rPr>
          <w:b/>
          <w:bCs/>
          <w:color w:val="C00000"/>
        </w:rPr>
        <w:t xml:space="preserve">he expectations </w:t>
      </w:r>
      <w:r w:rsidR="00E11C62">
        <w:rPr>
          <w:b/>
          <w:bCs/>
          <w:color w:val="C00000"/>
        </w:rPr>
        <w:t xml:space="preserve">that </w:t>
      </w:r>
      <w:r w:rsidR="00E11C62" w:rsidRPr="00E11C62">
        <w:rPr>
          <w:b/>
          <w:bCs/>
          <w:color w:val="C00000"/>
        </w:rPr>
        <w:t xml:space="preserve">the </w:t>
      </w:r>
      <w:r w:rsidR="00D9742D">
        <w:rPr>
          <w:b/>
          <w:bCs/>
          <w:color w:val="C00000"/>
        </w:rPr>
        <w:t xml:space="preserve">fund </w:t>
      </w:r>
      <w:r w:rsidR="00E11C62" w:rsidRPr="00E11C62">
        <w:rPr>
          <w:b/>
          <w:bCs/>
          <w:color w:val="C00000"/>
        </w:rPr>
        <w:t>name creates</w:t>
      </w:r>
      <w:r w:rsidR="00E11C62">
        <w:rPr>
          <w:b/>
          <w:bCs/>
          <w:color w:val="C00000"/>
        </w:rPr>
        <w:t>.</w:t>
      </w:r>
      <w:r w:rsidR="001836F9">
        <w:rPr>
          <w:b/>
          <w:bCs/>
          <w:color w:val="C00000"/>
        </w:rPr>
        <w:t xml:space="preserve"> </w:t>
      </w:r>
      <w:r w:rsidR="00F17076">
        <w:rPr>
          <w:b/>
          <w:bCs/>
          <w:color w:val="C00000"/>
        </w:rPr>
        <w:t xml:space="preserve">It also promotes </w:t>
      </w:r>
      <w:r w:rsidR="00F17076" w:rsidRPr="00A9677B">
        <w:rPr>
          <w:b/>
          <w:bCs/>
          <w:color w:val="C00000"/>
        </w:rPr>
        <w:t>policy coherence on this issue across jurisdictions</w:t>
      </w:r>
      <w:r w:rsidR="00F17076">
        <w:rPr>
          <w:b/>
          <w:bCs/>
          <w:color w:val="C00000"/>
        </w:rPr>
        <w:t>, as t</w:t>
      </w:r>
      <w:r w:rsidR="00F17076" w:rsidRPr="00A9677B">
        <w:rPr>
          <w:b/>
          <w:bCs/>
          <w:color w:val="C00000"/>
        </w:rPr>
        <w:t>he proposed threshold would match the ‘80% investment policy’ set out in the ‘Names Rule’ of the U.S. Investment Company Act. In 2022, the U.S. Securities and Exchange Commission</w:t>
      </w:r>
      <w:r w:rsidR="00212DFE">
        <w:rPr>
          <w:b/>
          <w:bCs/>
          <w:color w:val="C00000"/>
        </w:rPr>
        <w:t xml:space="preserve"> (SEC)</w:t>
      </w:r>
      <w:r w:rsidR="00F17076" w:rsidRPr="00A9677B">
        <w:rPr>
          <w:b/>
          <w:bCs/>
          <w:color w:val="C00000"/>
        </w:rPr>
        <w:t xml:space="preserve"> amended and expanded this rule to require a broader group of funds to invest at least 80% of their assets in line with the investment focus suggested by their names, noting that investors may reasonably expect funds with names containing terms like ‘ESG,’ ‘sustainable,’ or ‘socially conscious’ to offer an investment portfolio attentive to social and environmental impacts. </w:t>
      </w:r>
    </w:p>
    <w:p w14:paraId="038F49B4" w14:textId="68C71F0D" w:rsidR="00DD2E89" w:rsidRDefault="00730805" w:rsidP="00CD0AFE">
      <w:pPr>
        <w:rPr>
          <w:b/>
          <w:bCs/>
          <w:color w:val="C00000"/>
        </w:rPr>
      </w:pPr>
      <w:r>
        <w:rPr>
          <w:b/>
          <w:bCs/>
          <w:color w:val="C00000"/>
        </w:rPr>
        <w:t>However, t</w:t>
      </w:r>
      <w:r w:rsidR="00F17076">
        <w:rPr>
          <w:b/>
          <w:bCs/>
          <w:color w:val="C00000"/>
        </w:rPr>
        <w:t xml:space="preserve">he efficacy of any such threshold will depend on the underlying criteria. </w:t>
      </w:r>
      <w:r w:rsidR="003C04A0">
        <w:rPr>
          <w:b/>
          <w:bCs/>
          <w:color w:val="C00000"/>
        </w:rPr>
        <w:t xml:space="preserve">Financial actors will disclose sustainable investment objectives under the SFDR. </w:t>
      </w:r>
      <w:r w:rsidR="00DD2E89" w:rsidRPr="00DD2E89">
        <w:rPr>
          <w:b/>
          <w:bCs/>
          <w:color w:val="C00000"/>
        </w:rPr>
        <w:t>ESMA’s proposed threshold</w:t>
      </w:r>
      <w:r w:rsidR="003C04A0">
        <w:rPr>
          <w:b/>
          <w:bCs/>
          <w:color w:val="C00000"/>
        </w:rPr>
        <w:t xml:space="preserve"> of 80%</w:t>
      </w:r>
      <w:r w:rsidR="00DD2E89" w:rsidRPr="00DD2E89">
        <w:rPr>
          <w:b/>
          <w:bCs/>
          <w:color w:val="C00000"/>
        </w:rPr>
        <w:t xml:space="preserve"> </w:t>
      </w:r>
      <w:r w:rsidR="00A9677B">
        <w:rPr>
          <w:b/>
          <w:bCs/>
          <w:color w:val="C00000"/>
        </w:rPr>
        <w:t>w</w:t>
      </w:r>
      <w:r w:rsidR="00DD2E89">
        <w:rPr>
          <w:b/>
          <w:bCs/>
          <w:color w:val="C00000"/>
        </w:rPr>
        <w:t>ould</w:t>
      </w:r>
      <w:r w:rsidR="00C537EE">
        <w:rPr>
          <w:b/>
          <w:bCs/>
          <w:color w:val="C00000"/>
        </w:rPr>
        <w:t xml:space="preserve"> establish a reasonable minimum proportion of investments </w:t>
      </w:r>
      <w:r w:rsidR="00A9677B">
        <w:rPr>
          <w:b/>
          <w:bCs/>
          <w:color w:val="C00000"/>
        </w:rPr>
        <w:t>that must meet</w:t>
      </w:r>
      <w:r w:rsidR="00CD0AFE" w:rsidRPr="00CD0AFE">
        <w:rPr>
          <w:b/>
          <w:bCs/>
          <w:color w:val="C00000"/>
        </w:rPr>
        <w:t xml:space="preserve"> </w:t>
      </w:r>
      <w:r w:rsidR="00A9677B">
        <w:rPr>
          <w:b/>
          <w:bCs/>
          <w:color w:val="C00000"/>
        </w:rPr>
        <w:t xml:space="preserve">the </w:t>
      </w:r>
      <w:r w:rsidR="00CD0AFE" w:rsidRPr="00CD0AFE">
        <w:rPr>
          <w:b/>
          <w:bCs/>
          <w:color w:val="C00000"/>
        </w:rPr>
        <w:t>sustainable objectives</w:t>
      </w:r>
      <w:r w:rsidR="00CD0AFE">
        <w:rPr>
          <w:b/>
          <w:bCs/>
          <w:color w:val="C00000"/>
        </w:rPr>
        <w:t xml:space="preserve"> </w:t>
      </w:r>
      <w:r w:rsidR="00A9677B">
        <w:rPr>
          <w:b/>
          <w:bCs/>
          <w:color w:val="C00000"/>
        </w:rPr>
        <w:t xml:space="preserve">that </w:t>
      </w:r>
      <w:r w:rsidR="003C04A0">
        <w:rPr>
          <w:b/>
          <w:bCs/>
          <w:color w:val="C00000"/>
        </w:rPr>
        <w:t>the</w:t>
      </w:r>
      <w:r w:rsidR="00A9677B">
        <w:rPr>
          <w:b/>
          <w:bCs/>
          <w:color w:val="C00000"/>
        </w:rPr>
        <w:t xml:space="preserve"> financial actor</w:t>
      </w:r>
      <w:r w:rsidR="00CD0AFE">
        <w:rPr>
          <w:b/>
          <w:bCs/>
          <w:color w:val="C00000"/>
        </w:rPr>
        <w:t xml:space="preserve"> </w:t>
      </w:r>
      <w:r w:rsidR="003C04A0">
        <w:rPr>
          <w:b/>
          <w:bCs/>
          <w:color w:val="C00000"/>
        </w:rPr>
        <w:t>itself identifies and discloses</w:t>
      </w:r>
      <w:r w:rsidR="00CD0AFE" w:rsidRPr="007C3530">
        <w:rPr>
          <w:b/>
          <w:bCs/>
          <w:color w:val="C00000"/>
        </w:rPr>
        <w:t>.</w:t>
      </w:r>
      <w:r w:rsidR="007E2925" w:rsidRPr="007C3530">
        <w:rPr>
          <w:b/>
          <w:bCs/>
          <w:color w:val="C00000"/>
        </w:rPr>
        <w:t xml:space="preserve"> </w:t>
      </w:r>
      <w:r w:rsidR="00F17076" w:rsidRPr="007C3530">
        <w:rPr>
          <w:b/>
          <w:bCs/>
          <w:color w:val="C00000"/>
        </w:rPr>
        <w:t xml:space="preserve"> </w:t>
      </w:r>
      <w:r w:rsidR="007C3530" w:rsidRPr="007C3530">
        <w:rPr>
          <w:b/>
          <w:bCs/>
          <w:color w:val="C00000"/>
        </w:rPr>
        <w:t>However, u</w:t>
      </w:r>
      <w:r w:rsidR="00F17076" w:rsidRPr="007C3530">
        <w:rPr>
          <w:b/>
          <w:bCs/>
          <w:color w:val="C00000"/>
        </w:rPr>
        <w:t xml:space="preserve">nless that </w:t>
      </w:r>
      <w:r w:rsidR="007E2925" w:rsidRPr="007C3530">
        <w:rPr>
          <w:b/>
          <w:bCs/>
          <w:color w:val="C00000"/>
        </w:rPr>
        <w:t xml:space="preserve">threshold </w:t>
      </w:r>
      <w:r w:rsidR="00F17076" w:rsidRPr="007C3530">
        <w:rPr>
          <w:b/>
          <w:bCs/>
          <w:color w:val="C00000"/>
        </w:rPr>
        <w:t>is also</w:t>
      </w:r>
      <w:r w:rsidR="007E2925" w:rsidRPr="007C3530">
        <w:rPr>
          <w:b/>
          <w:bCs/>
          <w:color w:val="C00000"/>
        </w:rPr>
        <w:t xml:space="preserve"> subject to the SFDR </w:t>
      </w:r>
      <w:r w:rsidR="00D9742D" w:rsidRPr="007C3530">
        <w:rPr>
          <w:b/>
          <w:bCs/>
          <w:color w:val="C00000"/>
        </w:rPr>
        <w:t>‘</w:t>
      </w:r>
      <w:r w:rsidR="007E2925" w:rsidRPr="007C3530">
        <w:rPr>
          <w:b/>
          <w:bCs/>
          <w:color w:val="C00000"/>
        </w:rPr>
        <w:t>sustainable investment</w:t>
      </w:r>
      <w:r w:rsidR="00D9742D" w:rsidRPr="007C3530">
        <w:rPr>
          <w:b/>
          <w:bCs/>
          <w:color w:val="C00000"/>
        </w:rPr>
        <w:t>’</w:t>
      </w:r>
      <w:r w:rsidR="00D57752" w:rsidRPr="007C3530">
        <w:rPr>
          <w:b/>
          <w:bCs/>
          <w:color w:val="C00000"/>
        </w:rPr>
        <w:t>/Do No Significant Harm</w:t>
      </w:r>
      <w:r w:rsidR="005D66FB">
        <w:rPr>
          <w:b/>
          <w:bCs/>
          <w:color w:val="C00000"/>
        </w:rPr>
        <w:t xml:space="preserve"> (DNSH)</w:t>
      </w:r>
      <w:r w:rsidR="007E2925" w:rsidRPr="007C3530">
        <w:rPr>
          <w:b/>
          <w:bCs/>
          <w:color w:val="C00000"/>
        </w:rPr>
        <w:t xml:space="preserve"> test that would </w:t>
      </w:r>
      <w:r w:rsidR="00D9742D" w:rsidRPr="007C3530">
        <w:rPr>
          <w:b/>
          <w:bCs/>
          <w:color w:val="C00000"/>
        </w:rPr>
        <w:t xml:space="preserve">currently </w:t>
      </w:r>
      <w:r w:rsidR="007E2925" w:rsidRPr="007C3530">
        <w:rPr>
          <w:b/>
          <w:bCs/>
          <w:color w:val="C00000"/>
        </w:rPr>
        <w:t xml:space="preserve">apply to the additional </w:t>
      </w:r>
      <w:r w:rsidR="00D9742D" w:rsidRPr="007C3530">
        <w:rPr>
          <w:b/>
          <w:bCs/>
          <w:color w:val="C00000"/>
        </w:rPr>
        <w:t xml:space="preserve">proposed </w:t>
      </w:r>
      <w:r w:rsidR="007E2925" w:rsidRPr="007C3530">
        <w:rPr>
          <w:b/>
          <w:bCs/>
          <w:color w:val="C00000"/>
        </w:rPr>
        <w:t xml:space="preserve">threshold of 50% sustainable </w:t>
      </w:r>
      <w:r w:rsidR="007E2925">
        <w:rPr>
          <w:b/>
          <w:bCs/>
          <w:color w:val="C00000"/>
        </w:rPr>
        <w:t>investments (see Q3)</w:t>
      </w:r>
      <w:r>
        <w:rPr>
          <w:b/>
          <w:bCs/>
          <w:color w:val="C00000"/>
        </w:rPr>
        <w:t xml:space="preserve">, </w:t>
      </w:r>
      <w:r w:rsidR="007E2925">
        <w:rPr>
          <w:b/>
          <w:bCs/>
          <w:color w:val="C00000"/>
        </w:rPr>
        <w:t xml:space="preserve">ESMA risks </w:t>
      </w:r>
      <w:r w:rsidR="007C3530">
        <w:rPr>
          <w:b/>
          <w:bCs/>
          <w:color w:val="C00000"/>
        </w:rPr>
        <w:t xml:space="preserve">undermining its </w:t>
      </w:r>
      <w:r w:rsidR="007E2925">
        <w:rPr>
          <w:b/>
          <w:bCs/>
          <w:color w:val="C00000"/>
        </w:rPr>
        <w:t xml:space="preserve">commendable threshold </w:t>
      </w:r>
      <w:r w:rsidR="003C04A0">
        <w:rPr>
          <w:b/>
          <w:bCs/>
          <w:color w:val="C00000"/>
        </w:rPr>
        <w:t>by permitting trade-offs of one sustainability objective against another</w:t>
      </w:r>
      <w:r w:rsidR="00D9742D">
        <w:rPr>
          <w:b/>
          <w:bCs/>
          <w:color w:val="C00000"/>
        </w:rPr>
        <w:t xml:space="preserve">. Funds could use ESG or impact-related terms in their names but </w:t>
      </w:r>
      <w:r w:rsidR="007E2925">
        <w:rPr>
          <w:b/>
          <w:bCs/>
          <w:color w:val="C00000"/>
        </w:rPr>
        <w:t xml:space="preserve">nonetheless perpetuate greenwashing </w:t>
      </w:r>
      <w:r w:rsidR="007259F7">
        <w:rPr>
          <w:b/>
          <w:bCs/>
          <w:color w:val="C00000"/>
        </w:rPr>
        <w:t xml:space="preserve">by including within funds investments that have serious social or environmental harms.  </w:t>
      </w:r>
      <w:r w:rsidR="007E2925">
        <w:rPr>
          <w:b/>
          <w:bCs/>
          <w:color w:val="C00000"/>
        </w:rPr>
        <w:t xml:space="preserve"> </w:t>
      </w:r>
      <w:r w:rsidR="002F2E31">
        <w:rPr>
          <w:b/>
          <w:bCs/>
          <w:color w:val="C00000"/>
        </w:rPr>
        <w:t xml:space="preserve">Minimum safeguards to avoid environmental and social harms are critical to ensure that </w:t>
      </w:r>
      <w:r w:rsidR="008A26CF">
        <w:rPr>
          <w:b/>
          <w:bCs/>
          <w:color w:val="C00000"/>
        </w:rPr>
        <w:t>funds align their impacts with the claims in their names.</w:t>
      </w:r>
    </w:p>
    <w:p w14:paraId="07B9BC65" w14:textId="01686900" w:rsidR="005D66FB" w:rsidRPr="006500C6" w:rsidRDefault="006500C6" w:rsidP="00CD0AFE">
      <w:pPr>
        <w:rPr>
          <w:b/>
          <w:bCs/>
          <w:color w:val="C00000"/>
        </w:rPr>
      </w:pPr>
      <w:r w:rsidRPr="006500C6">
        <w:rPr>
          <w:b/>
          <w:bCs/>
          <w:color w:val="C00000"/>
        </w:rPr>
        <w:t xml:space="preserve">For any threshold, </w:t>
      </w:r>
      <w:r w:rsidR="005D66FB" w:rsidRPr="006500C6">
        <w:rPr>
          <w:b/>
          <w:bCs/>
          <w:color w:val="C00000"/>
        </w:rPr>
        <w:t xml:space="preserve">both the </w:t>
      </w:r>
      <w:r w:rsidR="00212DFE" w:rsidRPr="006500C6">
        <w:rPr>
          <w:b/>
          <w:bCs/>
          <w:color w:val="C00000"/>
        </w:rPr>
        <w:t xml:space="preserve">minimum </w:t>
      </w:r>
      <w:r w:rsidR="005D66FB" w:rsidRPr="006500C6">
        <w:rPr>
          <w:b/>
          <w:bCs/>
          <w:color w:val="C00000"/>
        </w:rPr>
        <w:t>percentage and the underlying criteria</w:t>
      </w:r>
      <w:r w:rsidRPr="006500C6">
        <w:rPr>
          <w:b/>
          <w:bCs/>
          <w:color w:val="C00000"/>
        </w:rPr>
        <w:t xml:space="preserve"> </w:t>
      </w:r>
      <w:r w:rsidR="005D66FB" w:rsidRPr="006500C6">
        <w:rPr>
          <w:b/>
          <w:bCs/>
          <w:color w:val="C00000"/>
        </w:rPr>
        <w:t>should be clear and comprehensible to investors so they</w:t>
      </w:r>
      <w:r w:rsidRPr="006500C6">
        <w:rPr>
          <w:b/>
          <w:bCs/>
          <w:color w:val="C00000"/>
        </w:rPr>
        <w:t xml:space="preserve"> can</w:t>
      </w:r>
      <w:r w:rsidR="005D66FB" w:rsidRPr="006500C6">
        <w:rPr>
          <w:b/>
          <w:bCs/>
          <w:color w:val="C00000"/>
        </w:rPr>
        <w:t xml:space="preserve"> understand how their </w:t>
      </w:r>
      <w:r w:rsidR="00212DFE" w:rsidRPr="006500C6">
        <w:rPr>
          <w:b/>
          <w:bCs/>
          <w:color w:val="C00000"/>
        </w:rPr>
        <w:t>investment</w:t>
      </w:r>
      <w:r w:rsidR="005D66FB" w:rsidRPr="006500C6">
        <w:rPr>
          <w:b/>
          <w:bCs/>
          <w:color w:val="C00000"/>
        </w:rPr>
        <w:t xml:space="preserve"> aligns with stated objectives</w:t>
      </w:r>
      <w:r w:rsidR="00212DFE" w:rsidRPr="006500C6">
        <w:rPr>
          <w:b/>
          <w:bCs/>
          <w:color w:val="C00000"/>
        </w:rPr>
        <w:t xml:space="preserve"> and reasonable expectations around terms like ‘ESG’</w:t>
      </w:r>
      <w:r w:rsidR="005D66FB" w:rsidRPr="006500C6">
        <w:rPr>
          <w:b/>
          <w:bCs/>
          <w:color w:val="C00000"/>
        </w:rPr>
        <w:t>.</w:t>
      </w:r>
      <w:r w:rsidR="00212DFE" w:rsidRPr="006500C6">
        <w:rPr>
          <w:b/>
          <w:bCs/>
          <w:color w:val="C00000"/>
        </w:rPr>
        <w:t xml:space="preserve"> Applying the same DNSH test would ensure consistent minimum safeguards across funds and enhance clarity for investors.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lastRenderedPageBreak/>
        <w:t>&lt;ESMA_QUESTION_FUNA_3&gt;</w:t>
      </w:r>
    </w:p>
    <w:p w14:paraId="288B1900" w14:textId="65556D18" w:rsidR="00862E6A" w:rsidRDefault="00F27D43" w:rsidP="00D9742D">
      <w:pPr>
        <w:rPr>
          <w:b/>
          <w:bCs/>
          <w:color w:val="C00000"/>
        </w:rPr>
      </w:pPr>
      <w:permStart w:id="347949177" w:edGrp="everyone"/>
      <w:r>
        <w:rPr>
          <w:b/>
          <w:bCs/>
          <w:color w:val="C00000"/>
        </w:rPr>
        <w:t xml:space="preserve">It </w:t>
      </w:r>
      <w:r w:rsidR="004235A5">
        <w:rPr>
          <w:b/>
          <w:bCs/>
          <w:color w:val="C00000"/>
        </w:rPr>
        <w:t>would be preferable</w:t>
      </w:r>
      <w:r>
        <w:rPr>
          <w:b/>
          <w:bCs/>
          <w:color w:val="C00000"/>
        </w:rPr>
        <w:t xml:space="preserve"> to</w:t>
      </w:r>
      <w:r w:rsidR="007E2925">
        <w:rPr>
          <w:b/>
          <w:bCs/>
          <w:color w:val="C00000"/>
        </w:rPr>
        <w:t xml:space="preserve"> </w:t>
      </w:r>
      <w:r w:rsidR="007E2925" w:rsidRPr="006500C6">
        <w:rPr>
          <w:b/>
          <w:bCs/>
          <w:color w:val="C00000"/>
        </w:rPr>
        <w:t>require</w:t>
      </w:r>
      <w:r w:rsidR="00D9742D" w:rsidRPr="006500C6">
        <w:rPr>
          <w:b/>
          <w:bCs/>
          <w:color w:val="C00000"/>
        </w:rPr>
        <w:t xml:space="preserve"> a </w:t>
      </w:r>
      <w:r w:rsidR="006E0605" w:rsidRPr="006500C6">
        <w:rPr>
          <w:b/>
          <w:bCs/>
          <w:color w:val="C00000"/>
        </w:rPr>
        <w:t>substantially higher percentage of</w:t>
      </w:r>
      <w:r w:rsidR="00D9742D" w:rsidRPr="006500C6">
        <w:rPr>
          <w:b/>
          <w:bCs/>
          <w:color w:val="C00000"/>
        </w:rPr>
        <w:t xml:space="preserve"> sustainable investments within those (minimum 80%) investments used to meet a fund’s </w:t>
      </w:r>
      <w:r w:rsidR="00D9742D" w:rsidRPr="00D9742D">
        <w:rPr>
          <w:b/>
          <w:bCs/>
          <w:color w:val="C00000"/>
        </w:rPr>
        <w:t>environmental or social characteristics or sustainable investment objectives</w:t>
      </w:r>
      <w:r w:rsidR="004235A5">
        <w:rPr>
          <w:b/>
          <w:bCs/>
          <w:color w:val="C00000"/>
        </w:rPr>
        <w:t xml:space="preserve"> so that it is more than half (50%) to justify the “sustainability” label</w:t>
      </w:r>
      <w:r w:rsidR="00D9742D">
        <w:rPr>
          <w:b/>
          <w:bCs/>
          <w:color w:val="C00000"/>
        </w:rPr>
        <w:t xml:space="preserve">. </w:t>
      </w:r>
    </w:p>
    <w:p w14:paraId="008C2FE4" w14:textId="77777777" w:rsidR="00862E6A" w:rsidRDefault="00862E6A" w:rsidP="00D9742D">
      <w:pPr>
        <w:rPr>
          <w:b/>
          <w:bCs/>
          <w:color w:val="C00000"/>
        </w:rPr>
      </w:pPr>
    </w:p>
    <w:p w14:paraId="2EB73BBC" w14:textId="0AFDA46C" w:rsidR="00F27D43" w:rsidRDefault="00D57752" w:rsidP="00D9742D">
      <w:pPr>
        <w:rPr>
          <w:b/>
          <w:bCs/>
          <w:color w:val="C00000"/>
        </w:rPr>
      </w:pPr>
      <w:r>
        <w:rPr>
          <w:b/>
          <w:bCs/>
          <w:color w:val="C00000"/>
        </w:rPr>
        <w:t xml:space="preserve">We </w:t>
      </w:r>
      <w:r w:rsidRPr="006500C6">
        <w:rPr>
          <w:b/>
          <w:bCs/>
          <w:color w:val="C00000"/>
        </w:rPr>
        <w:t xml:space="preserve">agree </w:t>
      </w:r>
      <w:r w:rsidR="003C04A0" w:rsidRPr="006500C6">
        <w:rPr>
          <w:b/>
          <w:bCs/>
          <w:color w:val="C00000"/>
        </w:rPr>
        <w:t xml:space="preserve">that </w:t>
      </w:r>
      <w:r w:rsidR="006500C6" w:rsidRPr="006500C6">
        <w:rPr>
          <w:b/>
          <w:bCs/>
          <w:color w:val="C00000"/>
        </w:rPr>
        <w:t>this subset of</w:t>
      </w:r>
      <w:r w:rsidR="003C04A0" w:rsidRPr="006500C6">
        <w:rPr>
          <w:b/>
          <w:bCs/>
          <w:color w:val="C00000"/>
        </w:rPr>
        <w:t xml:space="preserve"> investments </w:t>
      </w:r>
      <w:r w:rsidRPr="006500C6">
        <w:rPr>
          <w:b/>
          <w:bCs/>
          <w:color w:val="C00000"/>
        </w:rPr>
        <w:t>should be</w:t>
      </w:r>
      <w:r w:rsidR="003C04A0" w:rsidRPr="006500C6">
        <w:rPr>
          <w:b/>
          <w:bCs/>
          <w:color w:val="C00000"/>
        </w:rPr>
        <w:t xml:space="preserve"> subject to</w:t>
      </w:r>
      <w:r w:rsidRPr="006500C6">
        <w:rPr>
          <w:b/>
          <w:bCs/>
          <w:color w:val="C00000"/>
        </w:rPr>
        <w:t xml:space="preserve"> the</w:t>
      </w:r>
      <w:r w:rsidR="00D9742D" w:rsidRPr="006500C6">
        <w:rPr>
          <w:b/>
          <w:bCs/>
          <w:color w:val="C00000"/>
        </w:rPr>
        <w:t xml:space="preserve"> </w:t>
      </w:r>
      <w:r w:rsidR="00F27D43" w:rsidRPr="006500C6">
        <w:rPr>
          <w:b/>
          <w:bCs/>
          <w:color w:val="C00000"/>
        </w:rPr>
        <w:t>SFDR’s ‘sustainable investment’</w:t>
      </w:r>
      <w:r w:rsidRPr="006500C6">
        <w:rPr>
          <w:b/>
          <w:bCs/>
          <w:color w:val="C00000"/>
        </w:rPr>
        <w:t xml:space="preserve">/Do No Significant Harm (DNSH) </w:t>
      </w:r>
      <w:r w:rsidR="00F27D43" w:rsidRPr="006500C6">
        <w:rPr>
          <w:b/>
          <w:bCs/>
          <w:color w:val="C00000"/>
        </w:rPr>
        <w:t>test</w:t>
      </w:r>
      <w:r w:rsidRPr="006500C6">
        <w:rPr>
          <w:b/>
          <w:bCs/>
          <w:color w:val="C00000"/>
        </w:rPr>
        <w:t xml:space="preserve">. </w:t>
      </w:r>
      <w:r w:rsidR="00730805" w:rsidRPr="006500C6">
        <w:rPr>
          <w:b/>
          <w:bCs/>
          <w:color w:val="C00000"/>
        </w:rPr>
        <w:t xml:space="preserve">This threshold </w:t>
      </w:r>
      <w:r w:rsidR="007C3530" w:rsidRPr="006500C6">
        <w:rPr>
          <w:b/>
          <w:bCs/>
          <w:color w:val="C00000"/>
        </w:rPr>
        <w:t xml:space="preserve">would </w:t>
      </w:r>
      <w:r w:rsidR="00730805" w:rsidRPr="006500C6">
        <w:rPr>
          <w:b/>
          <w:bCs/>
          <w:color w:val="C00000"/>
        </w:rPr>
        <w:t>more meaningful</w:t>
      </w:r>
      <w:r w:rsidR="007C3530" w:rsidRPr="006500C6">
        <w:rPr>
          <w:b/>
          <w:bCs/>
          <w:color w:val="C00000"/>
        </w:rPr>
        <w:t>ly</w:t>
      </w:r>
      <w:r w:rsidR="00730805" w:rsidRPr="006500C6">
        <w:rPr>
          <w:b/>
          <w:bCs/>
          <w:color w:val="C00000"/>
        </w:rPr>
        <w:t xml:space="preserve"> contribute to sustainability than the initial 80% threshold, because it looks across the whole range of sustainability impacts, rather than focusing only on one dimension</w:t>
      </w:r>
      <w:r w:rsidR="0022746E" w:rsidRPr="006500C6">
        <w:rPr>
          <w:b/>
          <w:bCs/>
          <w:color w:val="C00000"/>
        </w:rPr>
        <w:t xml:space="preserve"> (</w:t>
      </w:r>
      <w:r w:rsidR="0022746E">
        <w:rPr>
          <w:b/>
          <w:bCs/>
          <w:color w:val="C00000"/>
        </w:rPr>
        <w:t>see Q2 on trade</w:t>
      </w:r>
      <w:r w:rsidR="007C3530">
        <w:rPr>
          <w:b/>
          <w:bCs/>
          <w:color w:val="C00000"/>
        </w:rPr>
        <w:t>-</w:t>
      </w:r>
      <w:r w:rsidR="0022746E">
        <w:rPr>
          <w:b/>
          <w:bCs/>
          <w:color w:val="C00000"/>
        </w:rPr>
        <w:t xml:space="preserve">offs). </w:t>
      </w:r>
      <w:r>
        <w:rPr>
          <w:b/>
          <w:bCs/>
          <w:color w:val="C00000"/>
        </w:rPr>
        <w:t xml:space="preserve">This test </w:t>
      </w:r>
      <w:r w:rsidR="00F27D43">
        <w:rPr>
          <w:b/>
          <w:bCs/>
          <w:color w:val="C00000"/>
        </w:rPr>
        <w:t>ensure</w:t>
      </w:r>
      <w:r>
        <w:rPr>
          <w:b/>
          <w:bCs/>
          <w:color w:val="C00000"/>
        </w:rPr>
        <w:t>s</w:t>
      </w:r>
      <w:r w:rsidR="00F27D43">
        <w:rPr>
          <w:b/>
          <w:bCs/>
          <w:color w:val="C00000"/>
        </w:rPr>
        <w:t xml:space="preserve"> that investments marketed as ‘sustainable’ not only pursue the fund’s stated objectives</w:t>
      </w:r>
      <w:r>
        <w:rPr>
          <w:b/>
          <w:bCs/>
          <w:color w:val="C00000"/>
        </w:rPr>
        <w:t xml:space="preserve"> as disclosed under the SFDR</w:t>
      </w:r>
      <w:r w:rsidR="00F27D43">
        <w:rPr>
          <w:b/>
          <w:bCs/>
          <w:color w:val="C00000"/>
        </w:rPr>
        <w:t>, but also:</w:t>
      </w:r>
    </w:p>
    <w:p w14:paraId="69E1F398" w14:textId="30211FCD" w:rsidR="00F27D43" w:rsidRDefault="008A26CF" w:rsidP="00F27D43">
      <w:pPr>
        <w:pStyle w:val="ListParagraph"/>
        <w:numPr>
          <w:ilvl w:val="0"/>
          <w:numId w:val="44"/>
        </w:numPr>
        <w:rPr>
          <w:b/>
          <w:bCs/>
          <w:color w:val="C00000"/>
        </w:rPr>
      </w:pPr>
      <w:r>
        <w:rPr>
          <w:b/>
          <w:bCs/>
          <w:color w:val="C00000"/>
        </w:rPr>
        <w:t>a</w:t>
      </w:r>
      <w:r w:rsidR="00F27D43">
        <w:rPr>
          <w:b/>
          <w:bCs/>
          <w:color w:val="C00000"/>
        </w:rPr>
        <w:t>lign with objective criteria for sustainable investments</w:t>
      </w:r>
      <w:r w:rsidR="00B30BB7">
        <w:rPr>
          <w:b/>
          <w:bCs/>
          <w:color w:val="C00000"/>
        </w:rPr>
        <w:t xml:space="preserve"> across the European market, and</w:t>
      </w:r>
    </w:p>
    <w:p w14:paraId="2D6C559A" w14:textId="0F614F2D" w:rsidR="00B30BB7" w:rsidRDefault="008A26CF" w:rsidP="00F27D43">
      <w:pPr>
        <w:pStyle w:val="ListParagraph"/>
        <w:numPr>
          <w:ilvl w:val="0"/>
          <w:numId w:val="44"/>
        </w:numPr>
        <w:rPr>
          <w:b/>
          <w:bCs/>
          <w:color w:val="C00000"/>
        </w:rPr>
      </w:pPr>
      <w:r>
        <w:rPr>
          <w:b/>
          <w:bCs/>
          <w:color w:val="C00000"/>
        </w:rPr>
        <w:t>d</w:t>
      </w:r>
      <w:r w:rsidR="00F27D43">
        <w:rPr>
          <w:b/>
          <w:bCs/>
          <w:color w:val="C00000"/>
        </w:rPr>
        <w:t xml:space="preserve">o no significant harm to environmental </w:t>
      </w:r>
      <w:r w:rsidR="00B30BB7">
        <w:rPr>
          <w:b/>
          <w:bCs/>
          <w:color w:val="C00000"/>
        </w:rPr>
        <w:t>or social objectives</w:t>
      </w:r>
    </w:p>
    <w:p w14:paraId="5454F570" w14:textId="15D1A0EB" w:rsidR="007E2925" w:rsidRDefault="00B30BB7" w:rsidP="00B30BB7">
      <w:pPr>
        <w:rPr>
          <w:b/>
          <w:bCs/>
          <w:color w:val="C00000"/>
        </w:rPr>
      </w:pPr>
      <w:r>
        <w:rPr>
          <w:b/>
          <w:bCs/>
          <w:color w:val="C00000"/>
        </w:rPr>
        <w:t>as set out the SFDR and the international principles and standards to which it refers.</w:t>
      </w:r>
    </w:p>
    <w:p w14:paraId="20B03132" w14:textId="77777777" w:rsidR="006500C6" w:rsidRDefault="006500C6" w:rsidP="0022746E">
      <w:pPr>
        <w:rPr>
          <w:b/>
          <w:bCs/>
          <w:color w:val="C00000"/>
        </w:rPr>
      </w:pPr>
    </w:p>
    <w:p w14:paraId="2CF0BE60" w14:textId="60086192" w:rsidR="00BE36A4" w:rsidRPr="0022746E" w:rsidRDefault="0022746E" w:rsidP="0022746E">
      <w:pPr>
        <w:rPr>
          <w:b/>
          <w:bCs/>
          <w:color w:val="C00000"/>
        </w:rPr>
      </w:pPr>
      <w:r w:rsidRPr="0022746E">
        <w:rPr>
          <w:b/>
          <w:bCs/>
          <w:color w:val="C00000"/>
        </w:rPr>
        <w:t>However, we suggest that t</w:t>
      </w:r>
      <w:r w:rsidR="00EB4C96" w:rsidRPr="0022746E">
        <w:rPr>
          <w:b/>
          <w:bCs/>
          <w:color w:val="C00000"/>
        </w:rPr>
        <w:t xml:space="preserve">his should be tied to the SFDR RTS </w:t>
      </w:r>
      <w:r w:rsidRPr="0022746E">
        <w:rPr>
          <w:b/>
          <w:bCs/>
          <w:color w:val="C00000"/>
        </w:rPr>
        <w:t>(EU) 2022/1288)</w:t>
      </w:r>
      <w:r>
        <w:rPr>
          <w:rFonts w:ascii="EUAlbertina" w:hAnsi="EUAlbertina" w:cs="EUAlbertina"/>
          <w:b/>
          <w:bCs/>
          <w:color w:val="000000"/>
          <w:sz w:val="19"/>
          <w:szCs w:val="19"/>
          <w:lang w:eastAsia="en-GB"/>
        </w:rPr>
        <w:t xml:space="preserve"> </w:t>
      </w:r>
      <w:r>
        <w:rPr>
          <w:b/>
          <w:bCs/>
          <w:color w:val="C00000"/>
        </w:rPr>
        <w:t>and</w:t>
      </w:r>
      <w:r w:rsidR="00EB4C96" w:rsidRPr="0022746E">
        <w:rPr>
          <w:b/>
          <w:bCs/>
          <w:color w:val="C00000"/>
        </w:rPr>
        <w:t xml:space="preserve"> specifically </w:t>
      </w:r>
      <w:r w:rsidR="00505657" w:rsidRPr="0022746E">
        <w:rPr>
          <w:b/>
          <w:bCs/>
          <w:color w:val="C00000"/>
        </w:rPr>
        <w:t>cross-referenc</w:t>
      </w:r>
      <w:r>
        <w:rPr>
          <w:b/>
          <w:bCs/>
          <w:color w:val="C00000"/>
        </w:rPr>
        <w:t>e</w:t>
      </w:r>
      <w:r w:rsidR="00505657" w:rsidRPr="0022746E">
        <w:rPr>
          <w:b/>
          <w:bCs/>
          <w:color w:val="C00000"/>
        </w:rPr>
        <w:t xml:space="preserve"> the RTS</w:t>
      </w:r>
      <w:r w:rsidR="00EB4C96" w:rsidRPr="0022746E">
        <w:rPr>
          <w:b/>
          <w:bCs/>
          <w:color w:val="C00000"/>
        </w:rPr>
        <w:t xml:space="preserve"> </w:t>
      </w:r>
      <w:r>
        <w:rPr>
          <w:b/>
          <w:bCs/>
          <w:color w:val="C00000"/>
        </w:rPr>
        <w:t>DNSH</w:t>
      </w:r>
      <w:r w:rsidR="00EB4C96" w:rsidRPr="0022746E">
        <w:rPr>
          <w:b/>
          <w:bCs/>
          <w:color w:val="C00000"/>
        </w:rPr>
        <w:t xml:space="preserve"> </w:t>
      </w:r>
      <w:r w:rsidR="00505657" w:rsidRPr="0022746E">
        <w:rPr>
          <w:b/>
          <w:bCs/>
          <w:color w:val="C00000"/>
        </w:rPr>
        <w:t>requirements to describe</w:t>
      </w:r>
      <w:r w:rsidR="00EB4C96" w:rsidRPr="0022746E">
        <w:rPr>
          <w:b/>
          <w:bCs/>
          <w:color w:val="C00000"/>
        </w:rPr>
        <w:t xml:space="preserve"> alignment </w:t>
      </w:r>
      <w:r w:rsidR="004D372E" w:rsidRPr="0022746E">
        <w:rPr>
          <w:b/>
          <w:bCs/>
          <w:color w:val="C00000"/>
        </w:rPr>
        <w:t>with the OECD Guidelines for Multinational Enterprises and the UN Guiding Principles on Business and Human Rights</w:t>
      </w:r>
      <w:r w:rsidR="006500C6">
        <w:rPr>
          <w:b/>
          <w:bCs/>
          <w:color w:val="C00000"/>
        </w:rPr>
        <w:t xml:space="preserve">, </w:t>
      </w:r>
      <w:r w:rsidR="004D372E" w:rsidRPr="0022746E">
        <w:rPr>
          <w:b/>
          <w:bCs/>
          <w:color w:val="C00000"/>
        </w:rPr>
        <w:t xml:space="preserve">including the International Labour Organisation’s core conventions. </w:t>
      </w:r>
      <w:r w:rsidR="00EB4C96" w:rsidRPr="0022746E">
        <w:rPr>
          <w:b/>
          <w:bCs/>
          <w:color w:val="C00000"/>
        </w:rPr>
        <w:t xml:space="preserve">Specific reference to these </w:t>
      </w:r>
      <w:r>
        <w:rPr>
          <w:b/>
          <w:bCs/>
          <w:color w:val="C00000"/>
        </w:rPr>
        <w:t>international standards</w:t>
      </w:r>
      <w:r w:rsidR="00EB4C96" w:rsidRPr="0022746E">
        <w:rPr>
          <w:b/>
          <w:bCs/>
          <w:color w:val="C00000"/>
        </w:rPr>
        <w:t xml:space="preserve"> in the RTS </w:t>
      </w:r>
      <w:r w:rsidR="006500C6">
        <w:rPr>
          <w:b/>
          <w:bCs/>
          <w:color w:val="C00000"/>
        </w:rPr>
        <w:t>is</w:t>
      </w:r>
      <w:r w:rsidR="00EB4C96" w:rsidRPr="0022746E">
        <w:rPr>
          <w:b/>
          <w:bCs/>
          <w:color w:val="C00000"/>
        </w:rPr>
        <w:t xml:space="preserve"> </w:t>
      </w:r>
      <w:r w:rsidR="004D372E" w:rsidRPr="0022746E">
        <w:rPr>
          <w:b/>
          <w:bCs/>
          <w:color w:val="C00000"/>
        </w:rPr>
        <w:t xml:space="preserve">critical to ensure that activities are not inaccurately characterised as sustainable if, for example, they pursue environmental objectives at the expense of social impacts or without due consideration of adverse human rights impacts on local stakeholders. </w:t>
      </w:r>
      <w:r w:rsidR="008A26CF" w:rsidRPr="0022746E">
        <w:rPr>
          <w:b/>
          <w:bCs/>
          <w:color w:val="C00000"/>
        </w:rPr>
        <w:t>Linking</w:t>
      </w:r>
      <w:r w:rsidR="004D372E" w:rsidRPr="0022746E">
        <w:rPr>
          <w:b/>
          <w:bCs/>
          <w:color w:val="C00000"/>
        </w:rPr>
        <w:t xml:space="preserve"> </w:t>
      </w:r>
      <w:r w:rsidR="00EB4C96" w:rsidRPr="0022746E">
        <w:rPr>
          <w:b/>
          <w:bCs/>
          <w:color w:val="C00000"/>
        </w:rPr>
        <w:t>the</w:t>
      </w:r>
      <w:r w:rsidR="004D372E" w:rsidRPr="0022746E">
        <w:rPr>
          <w:b/>
          <w:bCs/>
          <w:color w:val="C00000"/>
        </w:rPr>
        <w:t xml:space="preserve"> threshold to these international frameworks </w:t>
      </w:r>
      <w:r w:rsidR="00EB4C96" w:rsidRPr="0022746E">
        <w:rPr>
          <w:b/>
          <w:bCs/>
          <w:color w:val="C00000"/>
        </w:rPr>
        <w:t>already incorporate</w:t>
      </w:r>
      <w:r w:rsidR="00505657" w:rsidRPr="0022746E">
        <w:rPr>
          <w:b/>
          <w:bCs/>
          <w:color w:val="C00000"/>
        </w:rPr>
        <w:t>d</w:t>
      </w:r>
      <w:r w:rsidR="00EB4C96" w:rsidRPr="0022746E">
        <w:rPr>
          <w:b/>
          <w:bCs/>
          <w:color w:val="C00000"/>
        </w:rPr>
        <w:t xml:space="preserve"> in the SFDR RTS </w:t>
      </w:r>
      <w:r w:rsidR="004D372E" w:rsidRPr="0022746E">
        <w:rPr>
          <w:b/>
          <w:bCs/>
          <w:color w:val="C00000"/>
        </w:rPr>
        <w:t>would strengthen ESMA’s safeguards around the use of ‘sustainability’ in fund names.</w:t>
      </w:r>
    </w:p>
    <w:p w14:paraId="6B0181BF" w14:textId="77777777" w:rsidR="00BE36A4" w:rsidRPr="00B30BB7" w:rsidRDefault="00BE36A4" w:rsidP="00B30BB7">
      <w:pPr>
        <w:rPr>
          <w:b/>
          <w:bCs/>
          <w:color w:val="C00000"/>
        </w:rPr>
      </w:pP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01601802" w:rsidR="00B92885" w:rsidRDefault="00FE3516" w:rsidP="00FE3516">
      <w:permStart w:id="351877901" w:edGrp="everyone"/>
      <w:r>
        <w:rPr>
          <w:b/>
          <w:bCs/>
          <w:color w:val="C00000"/>
        </w:rPr>
        <w:t>NO RESPONSE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7BCCD96C" w14:textId="22217A57" w:rsidR="006C1684" w:rsidRDefault="00B127A2" w:rsidP="00B92885">
      <w:pPr>
        <w:rPr>
          <w:b/>
          <w:bCs/>
          <w:color w:val="C00000"/>
        </w:rPr>
      </w:pPr>
      <w:permStart w:id="1539323392" w:edGrp="everyone"/>
      <w:r>
        <w:rPr>
          <w:b/>
          <w:bCs/>
          <w:color w:val="C00000"/>
        </w:rPr>
        <w:t>NO RESPONSE</w:t>
      </w:r>
    </w:p>
    <w:permEnd w:id="1539323392"/>
    <w:p w14:paraId="436D4354" w14:textId="47E37358"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6A695A88" w14:textId="2E00B71F" w:rsidR="007259F7" w:rsidRPr="00FE3516" w:rsidRDefault="00B127A2" w:rsidP="00B127A2">
      <w:pPr>
        <w:rPr>
          <w:b/>
          <w:bCs/>
          <w:color w:val="C00000"/>
        </w:rPr>
      </w:pPr>
      <w:permStart w:id="175976681" w:edGrp="everyone"/>
      <w:r w:rsidRPr="00FE3516">
        <w:rPr>
          <w:b/>
          <w:bCs/>
          <w:color w:val="C00000"/>
        </w:rPr>
        <w:t xml:space="preserve">The DIHR strongly </w:t>
      </w:r>
      <w:r w:rsidR="00455AB8" w:rsidRPr="00FE3516">
        <w:rPr>
          <w:b/>
          <w:bCs/>
          <w:color w:val="C00000"/>
        </w:rPr>
        <w:t>emphasises</w:t>
      </w:r>
      <w:r w:rsidRPr="00FE3516">
        <w:rPr>
          <w:b/>
          <w:bCs/>
          <w:color w:val="C00000"/>
        </w:rPr>
        <w:t xml:space="preserve"> the need for minimum safeguards for investment funds with ESG- or sustainability-related terms in their names. </w:t>
      </w:r>
      <w:r w:rsidR="007259F7" w:rsidRPr="00FE3516">
        <w:rPr>
          <w:b/>
          <w:bCs/>
          <w:color w:val="C00000"/>
        </w:rPr>
        <w:t xml:space="preserve">  It supports the use of the exclusions in Regulation (EU) 2020/1818 Article 12(1)-(2) as these refer to investments that are clearly not aligned with the EU’s sustainability objectives and should be excluded from these funds.  However,</w:t>
      </w:r>
      <w:r w:rsidR="0022746E">
        <w:rPr>
          <w:b/>
          <w:bCs/>
          <w:color w:val="C00000"/>
        </w:rPr>
        <w:t xml:space="preserve"> the</w:t>
      </w:r>
      <w:r w:rsidR="007259F7" w:rsidRPr="00FE3516">
        <w:rPr>
          <w:b/>
          <w:bCs/>
          <w:color w:val="C00000"/>
        </w:rPr>
        <w:t xml:space="preserve"> DIHR also </w:t>
      </w:r>
      <w:r w:rsidR="007259F7" w:rsidRPr="00FE3516">
        <w:rPr>
          <w:b/>
          <w:bCs/>
          <w:color w:val="C00000"/>
        </w:rPr>
        <w:lastRenderedPageBreak/>
        <w:t>suggests that ESMA include the references to the minimum safeguards in Article 18 of the Taxonomy Regulation that are also and already cross-referenced in the SFDR RTS.  These include references to international standards – the UN Guiding Principles on Business and Human Rights and the OECD Guidelines on Multinational Enterprises</w:t>
      </w:r>
      <w:r w:rsidR="00FE3516" w:rsidRPr="00FE3516">
        <w:rPr>
          <w:b/>
          <w:bCs/>
          <w:color w:val="C00000"/>
        </w:rPr>
        <w:t xml:space="preserve"> – which offer internationally recognised principles for how businesses, including financial actors, can avoid harms to </w:t>
      </w:r>
      <w:r w:rsidR="0022746E">
        <w:rPr>
          <w:b/>
          <w:bCs/>
          <w:color w:val="C00000"/>
        </w:rPr>
        <w:t>human rights</w:t>
      </w:r>
      <w:r w:rsidR="007259F7" w:rsidRPr="00FE3516">
        <w:rPr>
          <w:b/>
          <w:bCs/>
          <w:color w:val="C00000"/>
        </w:rPr>
        <w:t xml:space="preserve">.  This cross-reference would help support policy coherence that is another ESMA objective.  </w:t>
      </w:r>
    </w:p>
    <w:p w14:paraId="3476BDED" w14:textId="4A60EB23" w:rsidR="007259F7" w:rsidRDefault="007259F7" w:rsidP="00B127A2">
      <w:pPr>
        <w:rPr>
          <w:b/>
          <w:bCs/>
          <w:color w:val="C00000"/>
        </w:rPr>
      </w:pP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2A582903" w14:textId="77777777" w:rsidR="007E5DB0" w:rsidRDefault="007E5DB0" w:rsidP="007E5DB0">
      <w:pPr>
        <w:rPr>
          <w:b/>
          <w:bCs/>
          <w:color w:val="C00000"/>
        </w:rPr>
      </w:pPr>
      <w:permStart w:id="576722602" w:edGrp="everyone"/>
      <w:r>
        <w:rPr>
          <w:b/>
          <w:bCs/>
          <w:color w:val="C00000"/>
        </w:rPr>
        <w:t>NO RESPONSE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132A2DF6" w14:textId="77777777" w:rsidR="007E5DB0" w:rsidRDefault="007E5DB0" w:rsidP="007E5DB0">
      <w:pPr>
        <w:rPr>
          <w:b/>
          <w:bCs/>
          <w:color w:val="C00000"/>
        </w:rPr>
      </w:pPr>
      <w:permStart w:id="1071974531" w:edGrp="everyone"/>
      <w:r>
        <w:rPr>
          <w:b/>
          <w:bCs/>
          <w:color w:val="C00000"/>
        </w:rPr>
        <w:t>NO RESPONSE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5431EFFC" w14:textId="77777777" w:rsidR="007E5DB0" w:rsidRDefault="007E5DB0" w:rsidP="007E5DB0">
      <w:pPr>
        <w:rPr>
          <w:b/>
          <w:bCs/>
          <w:color w:val="C00000"/>
        </w:rPr>
      </w:pPr>
      <w:permStart w:id="1162834929" w:edGrp="everyone"/>
      <w:r>
        <w:rPr>
          <w:b/>
          <w:bCs/>
          <w:color w:val="C00000"/>
        </w:rPr>
        <w:t>NO RESPONSE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78AF1C4C" w14:textId="75660C80" w:rsidR="007E5DB0" w:rsidRDefault="007E5DB0" w:rsidP="00B92885">
      <w:pPr>
        <w:rPr>
          <w:b/>
          <w:bCs/>
          <w:color w:val="C00000"/>
        </w:rPr>
      </w:pPr>
      <w:permStart w:id="650455330" w:edGrp="everyone"/>
      <w:r w:rsidRPr="00E7368C">
        <w:rPr>
          <w:b/>
          <w:bCs/>
          <w:color w:val="C00000"/>
        </w:rPr>
        <w:t>The DIHR agrees that</w:t>
      </w:r>
      <w:r>
        <w:rPr>
          <w:b/>
          <w:bCs/>
          <w:color w:val="C00000"/>
        </w:rPr>
        <w:t xml:space="preserve"> funds designating an index as a reference benchmark should be subject to the same requirements for funds’ names as any other fund. </w:t>
      </w:r>
      <w:r w:rsidR="00D100D8">
        <w:rPr>
          <w:b/>
          <w:bCs/>
          <w:color w:val="C00000"/>
        </w:rPr>
        <w:t>Applying the same requirements will further ESMA’s goals of standardisation and accuracy in fund names and communications (s</w:t>
      </w:r>
      <w:r>
        <w:rPr>
          <w:b/>
          <w:bCs/>
          <w:color w:val="C00000"/>
        </w:rPr>
        <w:t>ee our response to Q1</w:t>
      </w:r>
      <w:r w:rsidR="00D100D8">
        <w:rPr>
          <w:b/>
          <w:bCs/>
          <w:color w:val="C00000"/>
        </w:rPr>
        <w:t>)</w:t>
      </w:r>
      <w:r w:rsidR="00BB4A36">
        <w:rPr>
          <w:b/>
          <w:bCs/>
          <w:color w:val="C00000"/>
        </w:rPr>
        <w:t xml:space="preserve">.  Failing to cover indexes would leave a serious </w:t>
      </w:r>
      <w:r w:rsidR="0022746E">
        <w:rPr>
          <w:b/>
          <w:bCs/>
          <w:color w:val="C00000"/>
        </w:rPr>
        <w:t xml:space="preserve">compliance </w:t>
      </w:r>
      <w:r w:rsidR="00BB4A36">
        <w:rPr>
          <w:b/>
          <w:bCs/>
          <w:color w:val="C00000"/>
        </w:rPr>
        <w:t>gap and could create perverse incentives to move funds into indexes to take advantage of the gaps and profit from exactly the kind of greenwashing ESMA intends to root out.</w:t>
      </w:r>
    </w:p>
    <w:permEnd w:id="650455330"/>
    <w:p w14:paraId="737A5FA8" w14:textId="65513D72"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5E9C6C2C" w:rsidR="00B92885" w:rsidRPr="00D100D8" w:rsidRDefault="00D100D8" w:rsidP="00B92885">
      <w:pPr>
        <w:rPr>
          <w:b/>
          <w:bCs/>
          <w:color w:val="C00000"/>
        </w:rPr>
      </w:pPr>
      <w:permStart w:id="1876589445" w:edGrp="everyone"/>
      <w:r w:rsidRPr="00D100D8">
        <w:rPr>
          <w:b/>
          <w:bCs/>
          <w:color w:val="C00000"/>
        </w:rPr>
        <w:t>NO RESPONSE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14AB0C87" w14:textId="1A2AD0B3" w:rsidR="00B92885" w:rsidRDefault="008A26CF" w:rsidP="00B92885">
      <w:permStart w:id="1992309739" w:edGrp="everyone"/>
      <w:r w:rsidRPr="008A26CF">
        <w:rPr>
          <w:b/>
          <w:bCs/>
          <w:color w:val="C00000"/>
        </w:rPr>
        <w:lastRenderedPageBreak/>
        <w:t xml:space="preserve">The DIHR agrees that fund names including the word ‘impact,’ ‘impact investing’ or any other impact-related term should meet the proposed thresholds and additionally make investments with the intention </w:t>
      </w:r>
      <w:r w:rsidR="006E0605">
        <w:rPr>
          <w:b/>
          <w:bCs/>
          <w:color w:val="C00000"/>
        </w:rPr>
        <w:t xml:space="preserve">and demonstrated strategy </w:t>
      </w:r>
      <w:r w:rsidRPr="008A26CF">
        <w:rPr>
          <w:b/>
          <w:bCs/>
          <w:color w:val="C00000"/>
        </w:rPr>
        <w:t>to generate positive and measurable social or environmental impact alongside a financial return. Requiring ‘impact’ funds to meet the same requirements</w:t>
      </w:r>
      <w:r w:rsidRPr="008A26CF">
        <w:rPr>
          <w:color w:val="C00000"/>
        </w:rPr>
        <w:t xml:space="preserve"> </w:t>
      </w:r>
      <w:r>
        <w:rPr>
          <w:b/>
          <w:bCs/>
          <w:color w:val="C00000"/>
        </w:rPr>
        <w:t>will further ESMA’s goals of standardisation and accuracy in fund names and communications (see our response to Q1).</w:t>
      </w:r>
      <w:r>
        <w:t xml:space="preserve"> </w:t>
      </w:r>
      <w:permEnd w:id="1992309739"/>
      <w:r w:rsidR="00B92885">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349BC838" w:rsidR="00B92885" w:rsidRPr="00D100D8" w:rsidRDefault="00D100D8" w:rsidP="00B92885">
      <w:pPr>
        <w:rPr>
          <w:b/>
          <w:bCs/>
          <w:color w:val="C00000"/>
        </w:rPr>
      </w:pPr>
      <w:permStart w:id="1423966990" w:edGrp="everyone"/>
      <w:r w:rsidRPr="00D100D8">
        <w:rPr>
          <w:b/>
          <w:bCs/>
          <w:color w:val="C00000"/>
        </w:rPr>
        <w:t>NO RESPONSE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31FF16A4" w:rsidR="00B92885" w:rsidRDefault="00D100D8" w:rsidP="00B92885">
      <w:permStart w:id="1434478937" w:edGrp="everyone"/>
      <w:r w:rsidRPr="00D100D8">
        <w:rPr>
          <w:b/>
          <w:bCs/>
          <w:color w:val="C00000"/>
        </w:rPr>
        <w:t>NO RESPONSE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5BB58E14" w:rsidR="00B92885" w:rsidRPr="00D100D8" w:rsidRDefault="00D100D8" w:rsidP="00B92885">
      <w:pPr>
        <w:rPr>
          <w:b/>
          <w:bCs/>
          <w:color w:val="C00000"/>
        </w:rPr>
      </w:pPr>
      <w:permStart w:id="489244833" w:edGrp="everyone"/>
      <w:r>
        <w:rPr>
          <w:b/>
          <w:bCs/>
          <w:color w:val="C00000"/>
        </w:rPr>
        <w:t>NO RESPONSE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4491C396" w14:textId="43102357" w:rsidR="00D100D8" w:rsidRPr="00D100D8" w:rsidRDefault="00D100D8" w:rsidP="00B92885">
      <w:pPr>
        <w:rPr>
          <w:b/>
          <w:bCs/>
          <w:color w:val="C00000"/>
        </w:rPr>
      </w:pPr>
      <w:permStart w:id="1766353355" w:edGrp="everyone"/>
      <w:r w:rsidRPr="00D100D8">
        <w:rPr>
          <w:b/>
          <w:bCs/>
          <w:color w:val="C00000"/>
        </w:rPr>
        <w:t>The DIHR believes that the naming-related provisions should extend to closed-end funds that have terminated their subscription period before the application date of the Guidelines. The naming provisions should apply consistently to all investment funds so as not to create confusion among investors.</w:t>
      </w:r>
    </w:p>
    <w:permEnd w:id="1766353355"/>
    <w:p w14:paraId="611042B9" w14:textId="6E5EC3FD"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1E4640A8" w14:textId="11503E2C" w:rsidR="003A165A" w:rsidRDefault="003A165A" w:rsidP="003A165A">
      <w:pPr>
        <w:rPr>
          <w:b/>
          <w:bCs/>
          <w:color w:val="C00000"/>
        </w:rPr>
      </w:pPr>
      <w:permStart w:id="929254269" w:edGrp="everyone"/>
      <w:r>
        <w:rPr>
          <w:b/>
          <w:bCs/>
          <w:color w:val="C00000"/>
        </w:rPr>
        <w:t xml:space="preserve">The proposed Guidelines would enable standardisation for both fund managers and investors around the use of ‘ESG’ and sustainability-related terms in fund names. The DIHR believes that, with the </w:t>
      </w:r>
      <w:r w:rsidR="006E0605">
        <w:rPr>
          <w:b/>
          <w:bCs/>
          <w:color w:val="C00000"/>
        </w:rPr>
        <w:t xml:space="preserve">modifications </w:t>
      </w:r>
      <w:r>
        <w:rPr>
          <w:b/>
          <w:bCs/>
          <w:color w:val="C00000"/>
        </w:rPr>
        <w:t>we suggest to ensure due attention to social impacts and alignment with internationally recognised standards on responsible business conduct and human rights, these Guidelines would:</w:t>
      </w:r>
    </w:p>
    <w:p w14:paraId="10E02E28" w14:textId="0FD9704B" w:rsidR="003A165A" w:rsidRDefault="003A165A" w:rsidP="003A165A">
      <w:pPr>
        <w:pStyle w:val="ListParagraph"/>
        <w:numPr>
          <w:ilvl w:val="0"/>
          <w:numId w:val="46"/>
        </w:numPr>
        <w:rPr>
          <w:b/>
          <w:bCs/>
          <w:color w:val="C00000"/>
        </w:rPr>
      </w:pPr>
      <w:r>
        <w:rPr>
          <w:b/>
          <w:bCs/>
          <w:color w:val="C00000"/>
        </w:rPr>
        <w:t>Enable investors to rely on accurate information when considering sustainable or ESG investments;</w:t>
      </w:r>
    </w:p>
    <w:p w14:paraId="66D354DD" w14:textId="4FC4DCDD" w:rsidR="003A165A" w:rsidRDefault="003A165A" w:rsidP="003A165A">
      <w:pPr>
        <w:pStyle w:val="ListParagraph"/>
        <w:numPr>
          <w:ilvl w:val="0"/>
          <w:numId w:val="46"/>
        </w:numPr>
        <w:rPr>
          <w:b/>
          <w:bCs/>
          <w:color w:val="C00000"/>
        </w:rPr>
      </w:pPr>
      <w:r>
        <w:rPr>
          <w:b/>
          <w:bCs/>
          <w:color w:val="C00000"/>
        </w:rPr>
        <w:t>Provide clarity to fund managers on the types and proportions of investments that can qualify as sustainable:</w:t>
      </w:r>
    </w:p>
    <w:p w14:paraId="28A571C7" w14:textId="392D23DB" w:rsidR="003A165A" w:rsidRDefault="003A165A" w:rsidP="003A165A">
      <w:pPr>
        <w:pStyle w:val="ListParagraph"/>
        <w:numPr>
          <w:ilvl w:val="0"/>
          <w:numId w:val="46"/>
        </w:numPr>
        <w:rPr>
          <w:b/>
          <w:bCs/>
          <w:color w:val="C00000"/>
        </w:rPr>
      </w:pPr>
      <w:r>
        <w:rPr>
          <w:b/>
          <w:bCs/>
          <w:color w:val="C00000"/>
        </w:rPr>
        <w:lastRenderedPageBreak/>
        <w:t>Standardise ESG and sustainability-related terms not only to enhance clarity for investors but to level the playing field and ensure that all funds using such terms in their names are subject to the same criteria;</w:t>
      </w:r>
    </w:p>
    <w:p w14:paraId="13C56686" w14:textId="36E36B3C" w:rsidR="000B152E" w:rsidRDefault="000B152E" w:rsidP="003A165A">
      <w:pPr>
        <w:pStyle w:val="ListParagraph"/>
        <w:numPr>
          <w:ilvl w:val="0"/>
          <w:numId w:val="46"/>
        </w:numPr>
        <w:rPr>
          <w:b/>
          <w:bCs/>
          <w:color w:val="C00000"/>
        </w:rPr>
      </w:pPr>
      <w:r>
        <w:rPr>
          <w:b/>
          <w:bCs/>
          <w:color w:val="C00000"/>
        </w:rPr>
        <w:t>Avoid trade-offs among sustainability objectives, thus promoting a more coherent approach</w:t>
      </w:r>
    </w:p>
    <w:p w14:paraId="26A8E00E" w14:textId="77777777" w:rsidR="003A165A" w:rsidRDefault="003A165A" w:rsidP="006255FD">
      <w:pPr>
        <w:pStyle w:val="ListParagraph"/>
        <w:numPr>
          <w:ilvl w:val="0"/>
          <w:numId w:val="46"/>
        </w:numPr>
        <w:rPr>
          <w:b/>
          <w:bCs/>
          <w:color w:val="C00000"/>
        </w:rPr>
      </w:pPr>
      <w:r w:rsidRPr="003A165A">
        <w:rPr>
          <w:b/>
          <w:bCs/>
          <w:color w:val="C00000"/>
        </w:rPr>
        <w:t>Standardise the use of such terms across European markets to avoid</w:t>
      </w:r>
      <w:r>
        <w:rPr>
          <w:b/>
          <w:bCs/>
          <w:color w:val="C00000"/>
        </w:rPr>
        <w:t xml:space="preserve"> the confusion caused by</w:t>
      </w:r>
      <w:r w:rsidRPr="003A165A">
        <w:rPr>
          <w:b/>
          <w:bCs/>
          <w:color w:val="C00000"/>
        </w:rPr>
        <w:t xml:space="preserve"> a patchwork of sustainability and ESG thresholds</w:t>
      </w:r>
      <w:r>
        <w:rPr>
          <w:b/>
          <w:bCs/>
          <w:color w:val="C00000"/>
        </w:rPr>
        <w:t>; and</w:t>
      </w:r>
    </w:p>
    <w:p w14:paraId="6825252E" w14:textId="49726031" w:rsidR="003A165A" w:rsidRPr="003A165A" w:rsidRDefault="003A165A" w:rsidP="006255FD">
      <w:pPr>
        <w:pStyle w:val="ListParagraph"/>
        <w:numPr>
          <w:ilvl w:val="0"/>
          <w:numId w:val="46"/>
        </w:numPr>
        <w:rPr>
          <w:b/>
          <w:bCs/>
          <w:color w:val="C00000"/>
        </w:rPr>
      </w:pPr>
      <w:r>
        <w:rPr>
          <w:b/>
          <w:bCs/>
          <w:color w:val="C00000"/>
        </w:rPr>
        <w:t>Better encourage financial flows to sustainable activities through clear criteria that enhance trust.</w:t>
      </w:r>
      <w:r w:rsidRPr="003A165A">
        <w:rPr>
          <w:b/>
          <w:bCs/>
          <w:color w:val="C00000"/>
        </w:rPr>
        <w:t xml:space="preserve"> </w:t>
      </w:r>
    </w:p>
    <w:p w14:paraId="00ADF191" w14:textId="417E75B9" w:rsidR="00B92885" w:rsidRDefault="003A165A" w:rsidP="00B92885">
      <w:r w:rsidRPr="003A165A">
        <w:rPr>
          <w:b/>
          <w:bCs/>
          <w:color w:val="C00000"/>
        </w:rPr>
        <w:cr/>
      </w:r>
      <w:permEnd w:id="929254269"/>
      <w:r w:rsidR="00B92885">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7CF644C4" w14:textId="22145F0E" w:rsidR="00B22B88" w:rsidRDefault="003A165A" w:rsidP="00B92885">
      <w:pPr>
        <w:rPr>
          <w:b/>
          <w:bCs/>
          <w:color w:val="C00000"/>
        </w:rPr>
      </w:pPr>
      <w:permStart w:id="878708964" w:edGrp="everyone"/>
      <w:r>
        <w:rPr>
          <w:b/>
          <w:bCs/>
          <w:color w:val="C00000"/>
        </w:rPr>
        <w:t>While the DIHR agrees with much of the cost-benefit analysis laid out in ESMA’s Consultation Paper,</w:t>
      </w:r>
      <w:r w:rsidR="00B22B88">
        <w:rPr>
          <w:b/>
          <w:bCs/>
          <w:color w:val="C00000"/>
        </w:rPr>
        <w:t xml:space="preserve"> we also consider that compliance could carry more benefits than costs for fund managers, as these requirements could enhance coherence among the various EU regulations. Formal criteria and thresholds on what constitutes a ‘sustainable’ or ESG investment would complement the SFDR and the EU Taxonomy Regulation, lending additional clarity to the sustainability reporting and disclosures that fund managers will already be required to undertake. Compliance with the proposed guidelines could thus help connect and reinforce fund managers’ understandings and marketing of their sustainable investment portfolios. </w:t>
      </w:r>
    </w:p>
    <w:permEnd w:id="878708964"/>
    <w:p w14:paraId="651FE8BB" w14:textId="0C24DB1B"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0C31" w14:textId="77777777" w:rsidR="00181C24" w:rsidRDefault="00181C24">
      <w:r>
        <w:separator/>
      </w:r>
    </w:p>
    <w:p w14:paraId="7D227C67" w14:textId="77777777" w:rsidR="00181C24" w:rsidRDefault="00181C24"/>
  </w:endnote>
  <w:endnote w:type="continuationSeparator" w:id="0">
    <w:p w14:paraId="66A0B3C9" w14:textId="77777777" w:rsidR="00181C24" w:rsidRDefault="00181C24">
      <w:r>
        <w:continuationSeparator/>
      </w:r>
    </w:p>
    <w:p w14:paraId="3E1E112B" w14:textId="77777777" w:rsidR="00181C24" w:rsidRDefault="00181C24"/>
  </w:endnote>
  <w:endnote w:type="continuationNotice" w:id="1">
    <w:p w14:paraId="73F56959" w14:textId="77777777" w:rsidR="00181C24" w:rsidRDefault="0018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3C12" w14:textId="77777777" w:rsidR="00181C24" w:rsidRDefault="00181C24">
      <w:r>
        <w:separator/>
      </w:r>
    </w:p>
    <w:p w14:paraId="7D4150A8" w14:textId="77777777" w:rsidR="00181C24" w:rsidRDefault="00181C24"/>
  </w:footnote>
  <w:footnote w:type="continuationSeparator" w:id="0">
    <w:p w14:paraId="636CF35E" w14:textId="77777777" w:rsidR="00181C24" w:rsidRDefault="00181C24">
      <w:r>
        <w:continuationSeparator/>
      </w:r>
    </w:p>
    <w:p w14:paraId="65C1587A" w14:textId="77777777" w:rsidR="00181C24" w:rsidRDefault="00181C24"/>
  </w:footnote>
  <w:footnote w:type="continuationNotice" w:id="1">
    <w:p w14:paraId="64D767A5" w14:textId="77777777" w:rsidR="00181C24" w:rsidRDefault="00181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FFC"/>
    <w:multiLevelType w:val="hybridMultilevel"/>
    <w:tmpl w:val="C6BA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477DEC"/>
    <w:multiLevelType w:val="hybridMultilevel"/>
    <w:tmpl w:val="9AB6E242"/>
    <w:lvl w:ilvl="0" w:tplc="268E5AE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217758D"/>
    <w:multiLevelType w:val="hybridMultilevel"/>
    <w:tmpl w:val="B5F6159E"/>
    <w:lvl w:ilvl="0" w:tplc="D6A61C82">
      <w:start w:val="1"/>
      <w:numFmt w:val="bullet"/>
      <w:lvlText w:val=""/>
      <w:lvlJc w:val="left"/>
      <w:pPr>
        <w:ind w:left="720" w:hanging="360"/>
      </w:pPr>
      <w:rPr>
        <w:rFonts w:ascii="Symbol" w:hAnsi="Symbol" w:hint="default"/>
      </w:rPr>
    </w:lvl>
    <w:lvl w:ilvl="1" w:tplc="2BF82FC6">
      <w:start w:val="1"/>
      <w:numFmt w:val="bullet"/>
      <w:lvlText w:val="o"/>
      <w:lvlJc w:val="left"/>
      <w:pPr>
        <w:ind w:left="1440" w:hanging="360"/>
      </w:pPr>
      <w:rPr>
        <w:rFonts w:ascii="Courier New" w:hAnsi="Courier New" w:cs="Times New Roman" w:hint="default"/>
      </w:rPr>
    </w:lvl>
    <w:lvl w:ilvl="2" w:tplc="4D58865E">
      <w:start w:val="1"/>
      <w:numFmt w:val="bullet"/>
      <w:lvlText w:val=""/>
      <w:lvlJc w:val="left"/>
      <w:pPr>
        <w:ind w:left="2160" w:hanging="360"/>
      </w:pPr>
      <w:rPr>
        <w:rFonts w:ascii="Wingdings" w:hAnsi="Wingdings" w:hint="default"/>
      </w:rPr>
    </w:lvl>
    <w:lvl w:ilvl="3" w:tplc="601C6A06">
      <w:start w:val="1"/>
      <w:numFmt w:val="bullet"/>
      <w:lvlText w:val=""/>
      <w:lvlJc w:val="left"/>
      <w:pPr>
        <w:ind w:left="2880" w:hanging="360"/>
      </w:pPr>
      <w:rPr>
        <w:rFonts w:ascii="Symbol" w:hAnsi="Symbol" w:hint="default"/>
      </w:rPr>
    </w:lvl>
    <w:lvl w:ilvl="4" w:tplc="040EF4F0">
      <w:start w:val="1"/>
      <w:numFmt w:val="bullet"/>
      <w:lvlText w:val="o"/>
      <w:lvlJc w:val="left"/>
      <w:pPr>
        <w:ind w:left="3600" w:hanging="360"/>
      </w:pPr>
      <w:rPr>
        <w:rFonts w:ascii="Courier New" w:hAnsi="Courier New" w:cs="Times New Roman" w:hint="default"/>
      </w:rPr>
    </w:lvl>
    <w:lvl w:ilvl="5" w:tplc="53E8674C">
      <w:start w:val="1"/>
      <w:numFmt w:val="bullet"/>
      <w:lvlText w:val=""/>
      <w:lvlJc w:val="left"/>
      <w:pPr>
        <w:ind w:left="4320" w:hanging="360"/>
      </w:pPr>
      <w:rPr>
        <w:rFonts w:ascii="Wingdings" w:hAnsi="Wingdings" w:hint="default"/>
      </w:rPr>
    </w:lvl>
    <w:lvl w:ilvl="6" w:tplc="3B802F86">
      <w:start w:val="1"/>
      <w:numFmt w:val="bullet"/>
      <w:lvlText w:val=""/>
      <w:lvlJc w:val="left"/>
      <w:pPr>
        <w:ind w:left="5040" w:hanging="360"/>
      </w:pPr>
      <w:rPr>
        <w:rFonts w:ascii="Symbol" w:hAnsi="Symbol" w:hint="default"/>
      </w:rPr>
    </w:lvl>
    <w:lvl w:ilvl="7" w:tplc="85465DCA">
      <w:start w:val="1"/>
      <w:numFmt w:val="bullet"/>
      <w:lvlText w:val="o"/>
      <w:lvlJc w:val="left"/>
      <w:pPr>
        <w:ind w:left="5760" w:hanging="360"/>
      </w:pPr>
      <w:rPr>
        <w:rFonts w:ascii="Courier New" w:hAnsi="Courier New" w:cs="Times New Roman" w:hint="default"/>
      </w:rPr>
    </w:lvl>
    <w:lvl w:ilvl="8" w:tplc="83AA8F5C">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67A052A"/>
    <w:multiLevelType w:val="hybridMultilevel"/>
    <w:tmpl w:val="9ED03F1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6" w15:restartNumberingAfterBreak="0">
    <w:nsid w:val="62AD5B4F"/>
    <w:multiLevelType w:val="hybridMultilevel"/>
    <w:tmpl w:val="67F46C6A"/>
    <w:lvl w:ilvl="0" w:tplc="39DC1F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C3574AF"/>
    <w:multiLevelType w:val="hybridMultilevel"/>
    <w:tmpl w:val="5F2A5F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0"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5" w15:restartNumberingAfterBreak="0">
    <w:nsid w:val="7D0A477F"/>
    <w:multiLevelType w:val="hybridMultilevel"/>
    <w:tmpl w:val="312275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8"/>
  </w:num>
  <w:num w:numId="2">
    <w:abstractNumId w:val="21"/>
  </w:num>
  <w:num w:numId="3">
    <w:abstractNumId w:val="13"/>
  </w:num>
  <w:num w:numId="4">
    <w:abstractNumId w:val="27"/>
  </w:num>
  <w:num w:numId="5">
    <w:abstractNumId w:val="29"/>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4"/>
  </w:num>
  <w:num w:numId="14">
    <w:abstractNumId w:val="26"/>
  </w:num>
  <w:num w:numId="15">
    <w:abstractNumId w:val="12"/>
  </w:num>
  <w:num w:numId="16">
    <w:abstractNumId w:val="2"/>
  </w:num>
  <w:num w:numId="17">
    <w:abstractNumId w:val="16"/>
  </w:num>
  <w:num w:numId="18">
    <w:abstractNumId w:val="17"/>
  </w:num>
  <w:num w:numId="19">
    <w:abstractNumId w:val="19"/>
  </w:num>
  <w:num w:numId="20">
    <w:abstractNumId w:val="30"/>
  </w:num>
  <w:num w:numId="21">
    <w:abstractNumId w:val="42"/>
  </w:num>
  <w:num w:numId="22">
    <w:abstractNumId w:val="28"/>
  </w:num>
  <w:num w:numId="23">
    <w:abstractNumId w:val="11"/>
  </w:num>
  <w:num w:numId="24">
    <w:abstractNumId w:val="33"/>
  </w:num>
  <w:num w:numId="25">
    <w:abstractNumId w:val="32"/>
  </w:num>
  <w:num w:numId="26">
    <w:abstractNumId w:val="23"/>
  </w:num>
  <w:num w:numId="27">
    <w:abstractNumId w:val="37"/>
  </w:num>
  <w:num w:numId="28">
    <w:abstractNumId w:val="44"/>
  </w:num>
  <w:num w:numId="29">
    <w:abstractNumId w:val="9"/>
  </w:num>
  <w:num w:numId="30">
    <w:abstractNumId w:val="3"/>
  </w:num>
  <w:num w:numId="31">
    <w:abstractNumId w:val="25"/>
  </w:num>
  <w:num w:numId="32">
    <w:abstractNumId w:val="24"/>
  </w:num>
  <w:num w:numId="33">
    <w:abstractNumId w:val="40"/>
  </w:num>
  <w:num w:numId="34">
    <w:abstractNumId w:val="39"/>
  </w:num>
  <w:num w:numId="35">
    <w:abstractNumId w:val="5"/>
  </w:num>
  <w:num w:numId="36">
    <w:abstractNumId w:val="41"/>
  </w:num>
  <w:num w:numId="37">
    <w:abstractNumId w:val="24"/>
    <w:lvlOverride w:ilvl="0">
      <w:startOverride w:val="1"/>
    </w:lvlOverride>
  </w:num>
  <w:num w:numId="38">
    <w:abstractNumId w:val="24"/>
  </w:num>
  <w:num w:numId="39">
    <w:abstractNumId w:val="14"/>
  </w:num>
  <w:num w:numId="40">
    <w:abstractNumId w:val="6"/>
  </w:num>
  <w:num w:numId="41">
    <w:abstractNumId w:val="20"/>
  </w:num>
  <w:num w:numId="42">
    <w:abstractNumId w:val="36"/>
  </w:num>
  <w:num w:numId="43">
    <w:abstractNumId w:val="38"/>
  </w:num>
  <w:num w:numId="44">
    <w:abstractNumId w:val="22"/>
  </w:num>
  <w:num w:numId="45">
    <w:abstractNumId w:val="0"/>
  </w:num>
  <w:num w:numId="46">
    <w:abstractNumId w:val="45"/>
  </w:num>
  <w:num w:numId="4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3CE4"/>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152E"/>
    <w:rsid w:val="000B275C"/>
    <w:rsid w:val="000B2C3D"/>
    <w:rsid w:val="000B55C0"/>
    <w:rsid w:val="000B5DF2"/>
    <w:rsid w:val="000C06C9"/>
    <w:rsid w:val="000C1DCC"/>
    <w:rsid w:val="000C1FBC"/>
    <w:rsid w:val="000C2054"/>
    <w:rsid w:val="000C2B6A"/>
    <w:rsid w:val="000C2F88"/>
    <w:rsid w:val="000C4FBC"/>
    <w:rsid w:val="000C55C8"/>
    <w:rsid w:val="000C57C4"/>
    <w:rsid w:val="000C5FD3"/>
    <w:rsid w:val="000C701D"/>
    <w:rsid w:val="000C7C4A"/>
    <w:rsid w:val="000D17AA"/>
    <w:rsid w:val="000D2D0B"/>
    <w:rsid w:val="000D4484"/>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865"/>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1C24"/>
    <w:rsid w:val="0018204A"/>
    <w:rsid w:val="00182F7C"/>
    <w:rsid w:val="001836F9"/>
    <w:rsid w:val="001843B5"/>
    <w:rsid w:val="00186829"/>
    <w:rsid w:val="001868CA"/>
    <w:rsid w:val="00187304"/>
    <w:rsid w:val="001875BE"/>
    <w:rsid w:val="0019017A"/>
    <w:rsid w:val="00190B8C"/>
    <w:rsid w:val="00190FF8"/>
    <w:rsid w:val="0019311A"/>
    <w:rsid w:val="00193398"/>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2DFE"/>
    <w:rsid w:val="00214FB4"/>
    <w:rsid w:val="00215940"/>
    <w:rsid w:val="00217C23"/>
    <w:rsid w:val="00220561"/>
    <w:rsid w:val="00220CE4"/>
    <w:rsid w:val="00222D9B"/>
    <w:rsid w:val="00223788"/>
    <w:rsid w:val="00223D11"/>
    <w:rsid w:val="002242D3"/>
    <w:rsid w:val="0022746E"/>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2E31"/>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5D5E"/>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0359"/>
    <w:rsid w:val="003A165A"/>
    <w:rsid w:val="003A51C5"/>
    <w:rsid w:val="003A5DAC"/>
    <w:rsid w:val="003A6591"/>
    <w:rsid w:val="003A6E9A"/>
    <w:rsid w:val="003B08C8"/>
    <w:rsid w:val="003B2567"/>
    <w:rsid w:val="003B381A"/>
    <w:rsid w:val="003B4976"/>
    <w:rsid w:val="003B4B3F"/>
    <w:rsid w:val="003B6258"/>
    <w:rsid w:val="003B7A99"/>
    <w:rsid w:val="003C0343"/>
    <w:rsid w:val="003C04A0"/>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35A5"/>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5AB8"/>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8C4"/>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2E"/>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5657"/>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A10"/>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87FE7"/>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6FB"/>
    <w:rsid w:val="005D6A29"/>
    <w:rsid w:val="005E0481"/>
    <w:rsid w:val="005E10BF"/>
    <w:rsid w:val="005E1834"/>
    <w:rsid w:val="005E49E5"/>
    <w:rsid w:val="005E5481"/>
    <w:rsid w:val="005E55E4"/>
    <w:rsid w:val="005E6C5F"/>
    <w:rsid w:val="005E738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2455"/>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530"/>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0C6"/>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047C"/>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1684"/>
    <w:rsid w:val="006C2253"/>
    <w:rsid w:val="006C2CCB"/>
    <w:rsid w:val="006C4334"/>
    <w:rsid w:val="006C4B0F"/>
    <w:rsid w:val="006C5E96"/>
    <w:rsid w:val="006D399F"/>
    <w:rsid w:val="006D4F0C"/>
    <w:rsid w:val="006D5645"/>
    <w:rsid w:val="006E060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395A"/>
    <w:rsid w:val="007151A2"/>
    <w:rsid w:val="00716774"/>
    <w:rsid w:val="0071740A"/>
    <w:rsid w:val="007209DD"/>
    <w:rsid w:val="00722E49"/>
    <w:rsid w:val="00723A08"/>
    <w:rsid w:val="00723B5C"/>
    <w:rsid w:val="00724391"/>
    <w:rsid w:val="00724C18"/>
    <w:rsid w:val="007254DD"/>
    <w:rsid w:val="007259F7"/>
    <w:rsid w:val="00725FB1"/>
    <w:rsid w:val="00726630"/>
    <w:rsid w:val="00727F73"/>
    <w:rsid w:val="00730705"/>
    <w:rsid w:val="007308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17E0"/>
    <w:rsid w:val="007834A1"/>
    <w:rsid w:val="00791EB4"/>
    <w:rsid w:val="007928F1"/>
    <w:rsid w:val="0079357D"/>
    <w:rsid w:val="007937CC"/>
    <w:rsid w:val="00793A31"/>
    <w:rsid w:val="00793F14"/>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3530"/>
    <w:rsid w:val="007C49C0"/>
    <w:rsid w:val="007C55C1"/>
    <w:rsid w:val="007C5738"/>
    <w:rsid w:val="007C5772"/>
    <w:rsid w:val="007C5AC3"/>
    <w:rsid w:val="007C7233"/>
    <w:rsid w:val="007D0868"/>
    <w:rsid w:val="007D10EE"/>
    <w:rsid w:val="007D1193"/>
    <w:rsid w:val="007D21D5"/>
    <w:rsid w:val="007D3E8D"/>
    <w:rsid w:val="007D5915"/>
    <w:rsid w:val="007D5B4F"/>
    <w:rsid w:val="007D5C30"/>
    <w:rsid w:val="007E0660"/>
    <w:rsid w:val="007E1411"/>
    <w:rsid w:val="007E1882"/>
    <w:rsid w:val="007E1BB4"/>
    <w:rsid w:val="007E2077"/>
    <w:rsid w:val="007E2925"/>
    <w:rsid w:val="007E3514"/>
    <w:rsid w:val="007E4AAA"/>
    <w:rsid w:val="007E4BD2"/>
    <w:rsid w:val="007E4C29"/>
    <w:rsid w:val="007E5DB0"/>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9AC"/>
    <w:rsid w:val="00845D87"/>
    <w:rsid w:val="00846C3A"/>
    <w:rsid w:val="008477BF"/>
    <w:rsid w:val="008503DA"/>
    <w:rsid w:val="00850B68"/>
    <w:rsid w:val="00850E82"/>
    <w:rsid w:val="0085122D"/>
    <w:rsid w:val="008519E8"/>
    <w:rsid w:val="008525FF"/>
    <w:rsid w:val="00852C03"/>
    <w:rsid w:val="0085590C"/>
    <w:rsid w:val="008575EB"/>
    <w:rsid w:val="00862DDD"/>
    <w:rsid w:val="00862E6A"/>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9762C"/>
    <w:rsid w:val="008A2585"/>
    <w:rsid w:val="008A26CF"/>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1AA7"/>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3B26"/>
    <w:rsid w:val="00A74F9F"/>
    <w:rsid w:val="00A750B3"/>
    <w:rsid w:val="00A75559"/>
    <w:rsid w:val="00A7623D"/>
    <w:rsid w:val="00A80A97"/>
    <w:rsid w:val="00A80E97"/>
    <w:rsid w:val="00A8217C"/>
    <w:rsid w:val="00A824A7"/>
    <w:rsid w:val="00A83644"/>
    <w:rsid w:val="00A83C07"/>
    <w:rsid w:val="00A83F40"/>
    <w:rsid w:val="00A84945"/>
    <w:rsid w:val="00A85543"/>
    <w:rsid w:val="00A8728B"/>
    <w:rsid w:val="00A91682"/>
    <w:rsid w:val="00A92125"/>
    <w:rsid w:val="00A92E4A"/>
    <w:rsid w:val="00A958CA"/>
    <w:rsid w:val="00A966B6"/>
    <w:rsid w:val="00A9677B"/>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AF77E2"/>
    <w:rsid w:val="00B03CE2"/>
    <w:rsid w:val="00B06544"/>
    <w:rsid w:val="00B105F2"/>
    <w:rsid w:val="00B10991"/>
    <w:rsid w:val="00B12128"/>
    <w:rsid w:val="00B127A2"/>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2B88"/>
    <w:rsid w:val="00B23F86"/>
    <w:rsid w:val="00B248A0"/>
    <w:rsid w:val="00B24B42"/>
    <w:rsid w:val="00B24DC6"/>
    <w:rsid w:val="00B24E30"/>
    <w:rsid w:val="00B258F3"/>
    <w:rsid w:val="00B2659C"/>
    <w:rsid w:val="00B26B13"/>
    <w:rsid w:val="00B26BD2"/>
    <w:rsid w:val="00B26CA3"/>
    <w:rsid w:val="00B26FD7"/>
    <w:rsid w:val="00B270AB"/>
    <w:rsid w:val="00B2725B"/>
    <w:rsid w:val="00B27460"/>
    <w:rsid w:val="00B27E7B"/>
    <w:rsid w:val="00B306FC"/>
    <w:rsid w:val="00B309D2"/>
    <w:rsid w:val="00B30BB7"/>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199"/>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4A36"/>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36A4"/>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527D"/>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7EE"/>
    <w:rsid w:val="00C53FC1"/>
    <w:rsid w:val="00C551D2"/>
    <w:rsid w:val="00C56438"/>
    <w:rsid w:val="00C570B3"/>
    <w:rsid w:val="00C6009F"/>
    <w:rsid w:val="00C60417"/>
    <w:rsid w:val="00C6046F"/>
    <w:rsid w:val="00C638C2"/>
    <w:rsid w:val="00C651D4"/>
    <w:rsid w:val="00C6669E"/>
    <w:rsid w:val="00C672B0"/>
    <w:rsid w:val="00C729C7"/>
    <w:rsid w:val="00C76DE5"/>
    <w:rsid w:val="00C777AD"/>
    <w:rsid w:val="00C80C53"/>
    <w:rsid w:val="00C81195"/>
    <w:rsid w:val="00C81798"/>
    <w:rsid w:val="00C85387"/>
    <w:rsid w:val="00C85E52"/>
    <w:rsid w:val="00C86471"/>
    <w:rsid w:val="00C8677B"/>
    <w:rsid w:val="00C868E1"/>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0AFE"/>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00D8"/>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57752"/>
    <w:rsid w:val="00D6081B"/>
    <w:rsid w:val="00D60960"/>
    <w:rsid w:val="00D6240A"/>
    <w:rsid w:val="00D63093"/>
    <w:rsid w:val="00D63599"/>
    <w:rsid w:val="00D63EBD"/>
    <w:rsid w:val="00D65957"/>
    <w:rsid w:val="00D67101"/>
    <w:rsid w:val="00D71B45"/>
    <w:rsid w:val="00D71F8A"/>
    <w:rsid w:val="00D75603"/>
    <w:rsid w:val="00D75FEE"/>
    <w:rsid w:val="00D76933"/>
    <w:rsid w:val="00D76D88"/>
    <w:rsid w:val="00D772EF"/>
    <w:rsid w:val="00D77CC9"/>
    <w:rsid w:val="00D83D4B"/>
    <w:rsid w:val="00D871C6"/>
    <w:rsid w:val="00D91010"/>
    <w:rsid w:val="00D9143D"/>
    <w:rsid w:val="00D920D1"/>
    <w:rsid w:val="00D9742D"/>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2E89"/>
    <w:rsid w:val="00DD3026"/>
    <w:rsid w:val="00DD33DC"/>
    <w:rsid w:val="00DD3BB0"/>
    <w:rsid w:val="00DD61F5"/>
    <w:rsid w:val="00DD7418"/>
    <w:rsid w:val="00DE64A6"/>
    <w:rsid w:val="00DE66EB"/>
    <w:rsid w:val="00DE7035"/>
    <w:rsid w:val="00DF12E3"/>
    <w:rsid w:val="00DF2A20"/>
    <w:rsid w:val="00DF3F1D"/>
    <w:rsid w:val="00DF595C"/>
    <w:rsid w:val="00DF740D"/>
    <w:rsid w:val="00DF7EA7"/>
    <w:rsid w:val="00E04548"/>
    <w:rsid w:val="00E0484E"/>
    <w:rsid w:val="00E063F8"/>
    <w:rsid w:val="00E113B5"/>
    <w:rsid w:val="00E114D6"/>
    <w:rsid w:val="00E1166E"/>
    <w:rsid w:val="00E11C62"/>
    <w:rsid w:val="00E11DBD"/>
    <w:rsid w:val="00E13211"/>
    <w:rsid w:val="00E16FB5"/>
    <w:rsid w:val="00E179D6"/>
    <w:rsid w:val="00E21407"/>
    <w:rsid w:val="00E22668"/>
    <w:rsid w:val="00E227D3"/>
    <w:rsid w:val="00E22BFF"/>
    <w:rsid w:val="00E22CB0"/>
    <w:rsid w:val="00E22CC2"/>
    <w:rsid w:val="00E23798"/>
    <w:rsid w:val="00E2585D"/>
    <w:rsid w:val="00E25DBD"/>
    <w:rsid w:val="00E25FA2"/>
    <w:rsid w:val="00E2723D"/>
    <w:rsid w:val="00E27C77"/>
    <w:rsid w:val="00E30775"/>
    <w:rsid w:val="00E3179E"/>
    <w:rsid w:val="00E32AC9"/>
    <w:rsid w:val="00E354DA"/>
    <w:rsid w:val="00E354F5"/>
    <w:rsid w:val="00E357D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68C"/>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4C96"/>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38C5"/>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17076"/>
    <w:rsid w:val="00F2081B"/>
    <w:rsid w:val="00F20A43"/>
    <w:rsid w:val="00F20C51"/>
    <w:rsid w:val="00F21049"/>
    <w:rsid w:val="00F218AE"/>
    <w:rsid w:val="00F22232"/>
    <w:rsid w:val="00F2228E"/>
    <w:rsid w:val="00F22D3C"/>
    <w:rsid w:val="00F23D66"/>
    <w:rsid w:val="00F24E6F"/>
    <w:rsid w:val="00F26069"/>
    <w:rsid w:val="00F26B7E"/>
    <w:rsid w:val="00F27D43"/>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179"/>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6908"/>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516"/>
    <w:rsid w:val="00FE3929"/>
    <w:rsid w:val="00FE3E32"/>
    <w:rsid w:val="00FE43F6"/>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styleId="UnresolvedMention">
    <w:name w:val="Unresolved Mention"/>
    <w:basedOn w:val="DefaultParagraphFont"/>
    <w:uiPriority w:val="99"/>
    <w:semiHidden/>
    <w:unhideWhenUsed/>
    <w:rsid w:val="00B1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1683136">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 w:id="21256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3.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6.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16353</Characters>
  <Application>Microsoft Office Word</Application>
  <DocSecurity>8</DocSecurity>
  <Lines>136</Lines>
  <Paragraphs>38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19066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Sarah Tansey</cp:lastModifiedBy>
  <cp:revision>6</cp:revision>
  <cp:lastPrinted>2015-02-18T11:01:00Z</cp:lastPrinted>
  <dcterms:created xsi:type="dcterms:W3CDTF">2023-02-17T08:47:00Z</dcterms:created>
  <dcterms:modified xsi:type="dcterms:W3CDTF">2023-02-17T16:27:00Z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