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Piedepgina"/>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ipervnculo"/>
        </w:rPr>
        <w:t>www.esma.europa.eu</w:t>
      </w:r>
      <w:r w:rsidR="0066246A">
        <w:rPr>
          <w:rStyle w:val="Hipervnculo"/>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ipervnculo"/>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Ttulo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Textodelmarcadordeposicin"/>
              <w:rFonts w:cs="Arial"/>
            </w:rPr>
            <w:id w:val="651570699"/>
            <w:text/>
          </w:sdtPr>
          <w:sdtContent>
            <w:tc>
              <w:tcPr>
                <w:tcW w:w="5595" w:type="dxa"/>
                <w:shd w:val="clear" w:color="auto" w:fill="auto"/>
              </w:tcPr>
              <w:p w14:paraId="7A68491E" w14:textId="314EF4AE" w:rsidR="00C2682A" w:rsidRPr="00AB6D88" w:rsidRDefault="00DC40B9" w:rsidP="00FA5524">
                <w:pPr>
                  <w:rPr>
                    <w:rStyle w:val="Textodelmarcadordeposicin"/>
                    <w:rFonts w:cs="Arial"/>
                  </w:rPr>
                </w:pPr>
                <w:r>
                  <w:rPr>
                    <w:rStyle w:val="Textodelmarcadordeposicin"/>
                    <w:rFonts w:cs="Arial"/>
                  </w:rPr>
                  <w:t>SPAINSIF, SPANISH SUSTAINABLE INVESTMENT FORUM</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7BFA659B" w:rsidR="00C2682A" w:rsidRPr="00AB6D88" w:rsidRDefault="00000000"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DC40B9">
                  <w:rPr>
                    <w:rFonts w:cs="Arial"/>
                  </w:rPr>
                  <w:t>Non-financial counterparty</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Content>
            <w:tc>
              <w:tcPr>
                <w:tcW w:w="5595" w:type="dxa"/>
                <w:shd w:val="clear" w:color="auto" w:fill="auto"/>
              </w:tcPr>
              <w:p w14:paraId="3EE0D441" w14:textId="5FB9975F" w:rsidR="00C2682A" w:rsidRPr="00AB6D88" w:rsidRDefault="00DC40B9"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1045C271" w14:textId="3C69E327" w:rsidR="00C2682A" w:rsidRPr="00AB6D88" w:rsidRDefault="00DC40B9" w:rsidP="00FA5524">
                <w:pPr>
                  <w:rPr>
                    <w:rFonts w:cs="Arial"/>
                  </w:rPr>
                </w:pPr>
                <w:r>
                  <w:rPr>
                    <w:rFonts w:cs="Arial"/>
                  </w:rPr>
                  <w:t>S</w:t>
                </w:r>
                <w:r>
                  <w:t>PAIN</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Ttulo1"/>
        <w:numPr>
          <w:ilvl w:val="0"/>
          <w:numId w:val="0"/>
        </w:numPr>
        <w:ind w:left="431" w:hanging="431"/>
      </w:pPr>
      <w:r>
        <w:t>Introduction</w:t>
      </w:r>
    </w:p>
    <w:p w14:paraId="0A354328" w14:textId="77777777" w:rsidR="00F87897" w:rsidRPr="001D47A5" w:rsidRDefault="00F87897" w:rsidP="00F87897">
      <w:pPr>
        <w:rPr>
          <w:rStyle w:val="nfasisintenso"/>
        </w:rPr>
      </w:pPr>
      <w:r w:rsidRPr="001D47A5">
        <w:rPr>
          <w:rStyle w:val="nfasisintenso"/>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08C6541E" w14:textId="77777777" w:rsidR="00B92885" w:rsidRPr="00B92885" w:rsidRDefault="00B92885" w:rsidP="00B92885">
      <w:pPr>
        <w:spacing w:after="160" w:line="259" w:lineRule="auto"/>
        <w:rPr>
          <w:rFonts w:ascii="Calibri" w:eastAsia="Calibri" w:hAnsi="Calibri"/>
          <w:sz w:val="22"/>
          <w:szCs w:val="22"/>
          <w:lang w:eastAsia="en-US"/>
        </w:rPr>
      </w:pPr>
      <w:permStart w:id="1100430741" w:edGrp="everyone"/>
      <w:r w:rsidRPr="00B92885">
        <w:rPr>
          <w:rFonts w:ascii="Calibri" w:eastAsia="Calibri" w:hAnsi="Calibri"/>
          <w:sz w:val="22"/>
          <w:szCs w:val="22"/>
          <w:lang w:eastAsia="en-US"/>
        </w:rPr>
        <w:t>TYPE YOUR TEXT HERE</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39911868" w14:textId="77777777" w:rsidR="00DC40B9" w:rsidRDefault="00DC40B9" w:rsidP="00DC40B9">
      <w:pPr>
        <w:ind w:left="102" w:right="83"/>
        <w:jc w:val="both"/>
        <w:rPr>
          <w:rFonts w:ascii="Segoe UI" w:hAnsi="Segoe UI" w:cs="Segoe UI"/>
          <w:color w:val="374151"/>
          <w:shd w:val="clear" w:color="auto" w:fill="F7F7F8"/>
        </w:rPr>
      </w:pPr>
      <w:permStart w:id="1596738700" w:edGrp="everyone"/>
      <w:r>
        <w:rPr>
          <w:rFonts w:ascii="Segoe UI" w:hAnsi="Segoe UI" w:cs="Segoe UI"/>
          <w:color w:val="374151"/>
          <w:shd w:val="clear" w:color="auto" w:fill="F7F7F8"/>
        </w:rPr>
        <w:t>It is reasonable to introduce quantitative thresholds in the form of percentages for the use of certain terms in the names of sustainable financial investment products marketed in Europe. This can help reduce the risk of greenwashing and align fund names with their sustainable investment strategies and objectives. However, the introduction of these thresholds must be coherent with the existing sustainable finance regulatory framework, including the SFDR, and the proposed thresholds should be interoperable across EU member states. There is a risk of fragmentation in the application of the SFDR and the guidance on the use of sustainable terms due to different interpretations by national supervisors. It is desirable for future thresholds proposed for the use of sustainable terms in fund names to be coherent with supervisory thresholds and proposed thresholds of the regulator in future developments of the SFDR and future public sustainability labels for financial products.</w:t>
      </w:r>
    </w:p>
    <w:p w14:paraId="0E621EA2" w14:textId="77777777" w:rsidR="00DC40B9" w:rsidRDefault="00DC40B9" w:rsidP="00DC40B9">
      <w:pPr>
        <w:ind w:left="102" w:right="83"/>
        <w:jc w:val="both"/>
        <w:rPr>
          <w:rFonts w:ascii="Segoe UI" w:hAnsi="Segoe UI" w:cs="Segoe UI"/>
          <w:color w:val="374151"/>
          <w:shd w:val="clear" w:color="auto" w:fill="F7F7F8"/>
        </w:rPr>
      </w:pPr>
    </w:p>
    <w:p w14:paraId="653DDFF3" w14:textId="77777777" w:rsidR="00DC40B9" w:rsidRDefault="00DC40B9" w:rsidP="00DC40B9">
      <w:pPr>
        <w:ind w:left="102" w:right="83"/>
        <w:jc w:val="both"/>
        <w:rPr>
          <w:rFonts w:ascii="Segoe UI" w:hAnsi="Segoe UI" w:cs="Segoe UI"/>
          <w:color w:val="374151"/>
          <w:shd w:val="clear" w:color="auto" w:fill="F7F7F8"/>
        </w:rPr>
      </w:pPr>
      <w:r>
        <w:rPr>
          <w:rFonts w:ascii="Segoe UI" w:hAnsi="Segoe UI" w:cs="Segoe UI"/>
          <w:color w:val="374151"/>
          <w:shd w:val="clear" w:color="auto" w:fill="F7F7F8"/>
        </w:rPr>
        <w:t>Although the guide is independent of the SFDR Regulation, its application could lead to reclassifications of article 8 and 9 funds due to their greater or lesser alignment with the terms of use guide, given the link it establishes between the use of certain sustainability terms and the definition of sustainable investment and description of articles 8 and 9 of the SFDR. For example, an entity that had an article 8 fund called "ESG" that did not meet the proposed 80% threshold for the use of that term might be inclined to reclassify the fund, given the implications of using the term "ESG" and its relationship with the SFDR, or even to modify the investment strategy to comply with the proposed percentage. In turn, any change in classification under the SFDR connects with one of the criteria for responding to customer sustainability preferences under MiFID II, with the added complexity it brings to assessing the consequences of applying the guide.</w:t>
      </w:r>
    </w:p>
    <w:p w14:paraId="11C568D6" w14:textId="77777777" w:rsidR="00DC40B9" w:rsidRDefault="00DC40B9" w:rsidP="00DC40B9">
      <w:pPr>
        <w:ind w:left="102" w:right="83"/>
        <w:jc w:val="both"/>
        <w:rPr>
          <w:rFonts w:ascii="Segoe UI" w:hAnsi="Segoe UI" w:cs="Segoe UI"/>
          <w:color w:val="374151"/>
          <w:shd w:val="clear" w:color="auto" w:fill="F7F7F8"/>
        </w:rPr>
      </w:pPr>
    </w:p>
    <w:p w14:paraId="5D53A15F" w14:textId="77777777" w:rsidR="00DC40B9" w:rsidRPr="00D249B9" w:rsidRDefault="00DC40B9" w:rsidP="00DC40B9">
      <w:pPr>
        <w:ind w:left="102" w:right="83"/>
        <w:jc w:val="both"/>
        <w:rPr>
          <w:rFonts w:ascii="Segoe UI" w:hAnsi="Segoe UI" w:cs="Segoe UI"/>
          <w:color w:val="374151"/>
          <w:shd w:val="clear" w:color="auto" w:fill="F7F7F8"/>
        </w:rPr>
      </w:pPr>
      <w:r>
        <w:rPr>
          <w:rFonts w:ascii="Segoe UI" w:hAnsi="Segoe UI" w:cs="Segoe UI"/>
          <w:color w:val="374151"/>
          <w:shd w:val="clear" w:color="auto" w:fill="F7F7F8"/>
        </w:rPr>
        <w:t xml:space="preserve">In the case of UK, the FCA also proposes quantitative indicators in the form of percentages for a financial product to be able to present the sustainable focus category or label. The FCA´s proposed threshold is different to ESMA´s proposed threshold. </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5540C7E9" w14:textId="77777777" w:rsidR="00DC40B9" w:rsidRPr="005670E3" w:rsidRDefault="00DC40B9" w:rsidP="00DC40B9">
      <w:pPr>
        <w:ind w:left="102" w:right="83"/>
        <w:jc w:val="both"/>
        <w:rPr>
          <w:rFonts w:ascii="Segoe UI" w:hAnsi="Segoe UI" w:cs="Segoe UI"/>
          <w:color w:val="374151"/>
          <w:shd w:val="clear" w:color="auto" w:fill="F7F7F8"/>
        </w:rPr>
      </w:pPr>
      <w:permStart w:id="1305634831" w:edGrp="everyone"/>
      <w:r w:rsidRPr="005670E3">
        <w:rPr>
          <w:rFonts w:ascii="Segoe UI" w:hAnsi="Segoe UI" w:cs="Segoe UI"/>
          <w:color w:val="374151"/>
          <w:shd w:val="clear" w:color="auto" w:fill="F7F7F8"/>
        </w:rPr>
        <w:t>Regarding the thresholds for the use of terms related to ESG or impact, it is advisable to clarify first what is considered "ESG" and "impact," by clarifying or expanding a list of words or combinations of words related to ESG, and to what extent those same words combined in other ways, or under other investment strategies, may also be related to terms related to sustainable investments.</w:t>
      </w:r>
    </w:p>
    <w:p w14:paraId="31422B48" w14:textId="77777777" w:rsidR="00DC40B9" w:rsidRPr="005670E3" w:rsidRDefault="00DC40B9" w:rsidP="00DC40B9">
      <w:pPr>
        <w:ind w:left="102" w:right="83"/>
        <w:jc w:val="both"/>
        <w:rPr>
          <w:rFonts w:ascii="Segoe UI" w:hAnsi="Segoe UI" w:cs="Segoe UI"/>
          <w:color w:val="374151"/>
          <w:shd w:val="clear" w:color="auto" w:fill="F7F7F8"/>
        </w:rPr>
      </w:pPr>
    </w:p>
    <w:p w14:paraId="528349BD" w14:textId="77777777" w:rsidR="00DC40B9" w:rsidRPr="005670E3" w:rsidRDefault="00DC40B9" w:rsidP="00DC40B9">
      <w:pPr>
        <w:ind w:left="102" w:right="83"/>
        <w:jc w:val="both"/>
        <w:rPr>
          <w:rFonts w:ascii="Segoe UI" w:hAnsi="Segoe UI" w:cs="Segoe UI"/>
          <w:color w:val="374151"/>
          <w:shd w:val="clear" w:color="auto" w:fill="F7F7F8"/>
        </w:rPr>
      </w:pPr>
      <w:r w:rsidRPr="005670E3">
        <w:rPr>
          <w:rFonts w:ascii="Segoe UI" w:hAnsi="Segoe UI" w:cs="Segoe UI"/>
          <w:color w:val="374151"/>
          <w:shd w:val="clear" w:color="auto" w:fill="F7F7F8"/>
        </w:rPr>
        <w:t>In the case of the use of terms linked to "Impact," it would be advisable to clarify whether the 80% threshold, the 50% threshold, or both apply (the wording of the proposal and the wording of the questions have generated different interpretations).</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0A06B6D5" w14:textId="77777777" w:rsidR="00DC40B9" w:rsidRPr="003B4238" w:rsidRDefault="00DC40B9" w:rsidP="00DC40B9">
      <w:pPr>
        <w:ind w:left="102" w:right="83"/>
        <w:jc w:val="both"/>
        <w:rPr>
          <w:rFonts w:ascii="Segoe UI" w:hAnsi="Segoe UI" w:cs="Segoe UI"/>
          <w:color w:val="374151"/>
          <w:shd w:val="clear" w:color="auto" w:fill="F7F7F8"/>
        </w:rPr>
      </w:pPr>
      <w:permStart w:id="347949177" w:edGrp="everyone"/>
      <w:r w:rsidRPr="003B4238">
        <w:rPr>
          <w:rFonts w:ascii="Segoe UI" w:hAnsi="Segoe UI" w:cs="Segoe UI"/>
          <w:color w:val="374151"/>
          <w:shd w:val="clear" w:color="auto" w:fill="F7F7F8"/>
        </w:rPr>
        <w:lastRenderedPageBreak/>
        <w:t>It would be helpful to clarify the list of words or combinations of words related to "sustainable," and to what extent those same words combined in other ways or under other investment strategies may also be related to terms related to ESG or impact investing.</w:t>
      </w:r>
    </w:p>
    <w:p w14:paraId="3EA0B643" w14:textId="77777777" w:rsidR="00DC40B9" w:rsidRPr="003B4238" w:rsidRDefault="00DC40B9" w:rsidP="00DC40B9">
      <w:pPr>
        <w:ind w:left="102" w:right="83"/>
        <w:jc w:val="both"/>
        <w:rPr>
          <w:rFonts w:ascii="Segoe UI" w:hAnsi="Segoe UI" w:cs="Segoe UI"/>
          <w:color w:val="374151"/>
          <w:shd w:val="clear" w:color="auto" w:fill="F7F7F8"/>
        </w:rPr>
      </w:pPr>
    </w:p>
    <w:p w14:paraId="367CFA9D" w14:textId="77777777" w:rsidR="00DC40B9" w:rsidRPr="003B4238" w:rsidRDefault="00DC40B9" w:rsidP="00DC40B9">
      <w:pPr>
        <w:ind w:left="102" w:right="83"/>
        <w:jc w:val="both"/>
        <w:rPr>
          <w:rFonts w:ascii="Segoe UI" w:hAnsi="Segoe UI" w:cs="Segoe UI"/>
          <w:color w:val="374151"/>
          <w:shd w:val="clear" w:color="auto" w:fill="F7F7F8"/>
        </w:rPr>
      </w:pPr>
      <w:r w:rsidRPr="003B4238">
        <w:rPr>
          <w:rFonts w:ascii="Segoe UI" w:hAnsi="Segoe UI" w:cs="Segoe UI"/>
          <w:color w:val="374151"/>
          <w:shd w:val="clear" w:color="auto" w:fill="F7F7F8"/>
        </w:rPr>
        <w:t>While it has been informally clarified that the 50% threshold applies to 100% of the portfolio instead of 80% of investments with ESG characteristics, it would be advisable to include this directly in the wording of a possible definitive guideline to avoid possible confusion among market actors not related to the public consultation process and who would be affected by the guidelines. Finally, it would be helpful to clarify whether compliance with the 50% threshold is sufficient in this category or must be accompanied by compliance with the 80% threshold proposed for promoting environmental and social characteristics.</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2DD137B8" w14:textId="77777777" w:rsidR="00DC40B9" w:rsidRPr="00162B11" w:rsidRDefault="00DC40B9" w:rsidP="00DC40B9">
      <w:pPr>
        <w:ind w:left="102" w:right="83"/>
        <w:jc w:val="both"/>
        <w:rPr>
          <w:rFonts w:ascii="Segoe UI" w:hAnsi="Segoe UI" w:cs="Segoe UI"/>
          <w:color w:val="374151"/>
          <w:shd w:val="clear" w:color="auto" w:fill="F7F7F8"/>
        </w:rPr>
      </w:pPr>
      <w:permStart w:id="351877901" w:edGrp="everyone"/>
      <w:r w:rsidRPr="00162B11">
        <w:rPr>
          <w:rFonts w:ascii="Segoe UI" w:hAnsi="Segoe UI" w:cs="Segoe UI"/>
          <w:color w:val="374151"/>
          <w:shd w:val="clear" w:color="auto" w:fill="F7F7F8"/>
        </w:rPr>
        <w:t>It is currently possible that the system of percentage thresholds could increase the complexity of the framework, as it does not ensure interoperability with future criteria or thresholds that SFDR may define for labels.</w:t>
      </w:r>
    </w:p>
    <w:p w14:paraId="4E536715" w14:textId="77777777" w:rsidR="00DC40B9" w:rsidRPr="00162B11" w:rsidRDefault="00DC40B9" w:rsidP="00DC40B9">
      <w:pPr>
        <w:ind w:left="102" w:right="83"/>
        <w:jc w:val="both"/>
        <w:rPr>
          <w:rFonts w:ascii="Segoe UI" w:hAnsi="Segoe UI" w:cs="Segoe UI"/>
          <w:color w:val="374151"/>
          <w:shd w:val="clear" w:color="auto" w:fill="F7F7F8"/>
        </w:rPr>
      </w:pPr>
      <w:r w:rsidRPr="00162B11">
        <w:rPr>
          <w:rFonts w:ascii="Segoe UI" w:hAnsi="Segoe UI" w:cs="Segoe UI"/>
          <w:color w:val="374151"/>
          <w:shd w:val="clear" w:color="auto" w:fill="F7F7F8"/>
        </w:rPr>
        <w:t>Additional provisions would be necessary for impact and transition products in the event of a scheme that refers to two major categories between ESG and sustainability.</w:t>
      </w:r>
    </w:p>
    <w:p w14:paraId="70A67747" w14:textId="77777777" w:rsidR="00DC40B9" w:rsidRPr="00162B11" w:rsidRDefault="00DC40B9" w:rsidP="00DC40B9">
      <w:pPr>
        <w:ind w:left="102" w:right="83"/>
        <w:jc w:val="both"/>
        <w:rPr>
          <w:rFonts w:ascii="Segoe UI" w:hAnsi="Segoe UI" w:cs="Segoe UI"/>
          <w:color w:val="374151"/>
        </w:rPr>
      </w:pPr>
      <w:r w:rsidRPr="00162B11">
        <w:rPr>
          <w:rFonts w:ascii="Segoe UI" w:hAnsi="Segoe UI" w:cs="Segoe UI"/>
          <w:color w:val="374151"/>
          <w:shd w:val="clear" w:color="auto" w:fill="F7F7F8"/>
        </w:rPr>
        <w:t>In other regions, a process has been adopted that combines 1) labels or categories for products based on investment strategies, without having to define thresholds for each of them, 2) disclosure requirements for each of the categories, and 3)</w:t>
      </w:r>
      <w:r w:rsidRPr="00162B11">
        <w:rPr>
          <w:rFonts w:ascii="Segoe UI" w:hAnsi="Segoe UI" w:cs="Segoe UI"/>
          <w:color w:val="374151"/>
        </w:rPr>
        <w:t xml:space="preserve"> rules for fund names; in an integrated way that ensures interoperability between the different regulations (</w:t>
      </w:r>
      <w:r>
        <w:rPr>
          <w:rFonts w:ascii="Segoe UI" w:hAnsi="Segoe UI" w:cs="Segoe UI"/>
          <w:color w:val="374151"/>
        </w:rPr>
        <w:t xml:space="preserve">see the case of </w:t>
      </w:r>
      <w:r w:rsidRPr="00162B11">
        <w:rPr>
          <w:rFonts w:ascii="Segoe UI" w:hAnsi="Segoe UI" w:cs="Segoe UI"/>
          <w:color w:val="374151"/>
        </w:rPr>
        <w:t>the FCA process in the UK).</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068FAF4D" w14:textId="77777777" w:rsidR="00DC40B9" w:rsidRDefault="00DC40B9" w:rsidP="00DC40B9">
      <w:pPr>
        <w:spacing w:before="22"/>
        <w:ind w:right="80"/>
        <w:jc w:val="both"/>
        <w:rPr>
          <w:rFonts w:ascii="Segoe UI" w:hAnsi="Segoe UI" w:cs="Segoe UI"/>
          <w:color w:val="374151"/>
          <w:shd w:val="clear" w:color="auto" w:fill="F7F7F8"/>
        </w:rPr>
      </w:pPr>
      <w:permStart w:id="1539323392" w:edGrp="everyone"/>
      <w:r>
        <w:rPr>
          <w:rFonts w:ascii="Segoe UI" w:hAnsi="Segoe UI" w:cs="Segoe UI"/>
          <w:color w:val="374151"/>
          <w:shd w:val="clear" w:color="auto" w:fill="F7F7F8"/>
        </w:rPr>
        <w:t>The proposal is limited to setting rules for the names of funds and does not fully address the differentiation of different investment products based on their investment strategies and objectives for investors. The proposed percentages also do not represent product labels based on investment objectives and strategies, but rather rules for naming funds for marketing purposes.</w:t>
      </w:r>
    </w:p>
    <w:p w14:paraId="5144DF49" w14:textId="77777777" w:rsidR="00DC40B9" w:rsidRDefault="00DC40B9" w:rsidP="00DC40B9">
      <w:pPr>
        <w:spacing w:before="22"/>
        <w:ind w:right="80"/>
        <w:jc w:val="both"/>
        <w:rPr>
          <w:rFonts w:ascii="Segoe UI" w:hAnsi="Segoe UI" w:cs="Segoe UI"/>
          <w:color w:val="374151"/>
          <w:shd w:val="clear" w:color="auto" w:fill="F7F7F8"/>
        </w:rPr>
      </w:pPr>
      <w:r>
        <w:rPr>
          <w:rFonts w:ascii="Segoe UI" w:hAnsi="Segoe UI" w:cs="Segoe UI"/>
          <w:color w:val="374151"/>
          <w:shd w:val="clear" w:color="auto" w:fill="F7F7F8"/>
        </w:rPr>
        <w:t>We agree that a normative development model that ensures the interoperability of all provisions is crucial to prevent greenwashing. Setting rules for fund names as ESMA proposes, is only a part of the solution and does not fully address the differentiation of different investment products based on their strategies and objectives. Clarification of classification criteria for product categories or labels, along with disclosure requirements for each of them, is also necessary to achieve greater transparency and prevent misunderstandings by investors. Additionally, it is important to have appropriate rules to enable proper marketing of investment products, especially in the retail segment.</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0B368683" w14:textId="77777777" w:rsidR="00DC40B9" w:rsidRPr="00F12516" w:rsidRDefault="00DC40B9" w:rsidP="00DC40B9">
      <w:pPr>
        <w:spacing w:before="22"/>
        <w:ind w:right="80"/>
        <w:jc w:val="both"/>
        <w:rPr>
          <w:rFonts w:ascii="Segoe UI" w:hAnsi="Segoe UI" w:cs="Segoe UI"/>
          <w:color w:val="374151"/>
          <w:shd w:val="clear" w:color="auto" w:fill="F7F7F8"/>
        </w:rPr>
      </w:pPr>
      <w:permStart w:id="175976681" w:edGrp="everyone"/>
      <w:r w:rsidRPr="00F12516">
        <w:rPr>
          <w:rFonts w:ascii="Segoe UI" w:hAnsi="Segoe UI" w:cs="Segoe UI"/>
          <w:color w:val="374151"/>
          <w:shd w:val="clear" w:color="auto" w:fill="F7F7F8"/>
        </w:rPr>
        <w:lastRenderedPageBreak/>
        <w:t xml:space="preserve">Establishing general minimum safeguards seems necessary, although the proposed minimum safeguards are overly strict (they correspond to the most ambitious climate index construction standard in the regulatory framework), with a climate focus that may not be transferable to funds pursuing social or other environmental objectives. </w:t>
      </w:r>
      <w:r w:rsidRPr="00A27568">
        <w:rPr>
          <w:rFonts w:ascii="Segoe UI" w:hAnsi="Segoe UI" w:cs="Segoe UI"/>
          <w:color w:val="374151"/>
          <w:shd w:val="clear" w:color="auto" w:fill="F7F7F8"/>
        </w:rPr>
        <w:t>Additionally, the establishment of quantitative exclusions by the supervisor may limit asset allocation.</w:t>
      </w:r>
    </w:p>
    <w:p w14:paraId="45D30251" w14:textId="77777777" w:rsidR="00DC40B9" w:rsidRPr="00F12516" w:rsidRDefault="00DC40B9" w:rsidP="00DC40B9">
      <w:pPr>
        <w:spacing w:before="22"/>
        <w:ind w:right="80"/>
        <w:jc w:val="both"/>
        <w:rPr>
          <w:rFonts w:ascii="Segoe UI" w:hAnsi="Segoe UI" w:cs="Segoe UI"/>
          <w:color w:val="374151"/>
          <w:shd w:val="clear" w:color="auto" w:fill="F7F7F8"/>
        </w:rPr>
      </w:pPr>
      <w:r w:rsidRPr="00F12516">
        <w:rPr>
          <w:rFonts w:ascii="Segoe UI" w:hAnsi="Segoe UI" w:cs="Segoe UI"/>
          <w:color w:val="374151"/>
          <w:shd w:val="clear" w:color="auto" w:fill="F7F7F8"/>
        </w:rPr>
        <w:t>As an alternative proposal, the drafting of exclusions for funds using sustainability-related terms could take the form of commonly accepted principles in sustainable investment practice, such as the minimum social safeguards included in the green taxonomy. Additionally, transparency measures could be included, such as the disclosure of exclusions applied in fund prospectuses, so that advisors and investors can individually determine their level of alignment beyond compliance with minimum</w:t>
      </w:r>
      <w:r>
        <w:rPr>
          <w:rFonts w:ascii="Segoe UI" w:hAnsi="Segoe UI" w:cs="Segoe UI"/>
          <w:color w:val="374151"/>
          <w:shd w:val="clear" w:color="auto" w:fill="F7F7F8"/>
        </w:rPr>
        <w:t xml:space="preserve"> and </w:t>
      </w:r>
      <w:r w:rsidRPr="00CB3FCA">
        <w:rPr>
          <w:rFonts w:ascii="Segoe UI" w:hAnsi="Segoe UI" w:cs="Segoe UI"/>
          <w:color w:val="374151"/>
          <w:shd w:val="clear" w:color="auto" w:fill="F7F7F8"/>
        </w:rPr>
        <w:t xml:space="preserve">commonly accepted </w:t>
      </w:r>
      <w:r>
        <w:rPr>
          <w:rFonts w:ascii="Segoe UI" w:hAnsi="Segoe UI" w:cs="Segoe UI"/>
          <w:color w:val="374151"/>
          <w:shd w:val="clear" w:color="auto" w:fill="F7F7F8"/>
        </w:rPr>
        <w:t xml:space="preserve">sustainable investment </w:t>
      </w:r>
      <w:r w:rsidRPr="00F12516">
        <w:rPr>
          <w:rFonts w:ascii="Segoe UI" w:hAnsi="Segoe UI" w:cs="Segoe UI"/>
          <w:color w:val="374151"/>
          <w:shd w:val="clear" w:color="auto" w:fill="F7F7F8"/>
        </w:rPr>
        <w:t>principles.</w:t>
      </w:r>
    </w:p>
    <w:p w14:paraId="4B0CB624" w14:textId="77777777" w:rsidR="00DC40B9" w:rsidRPr="00F12516" w:rsidRDefault="00DC40B9" w:rsidP="00DC40B9">
      <w:pPr>
        <w:spacing w:before="22"/>
        <w:ind w:right="80"/>
        <w:jc w:val="both"/>
        <w:rPr>
          <w:rFonts w:ascii="Segoe UI" w:hAnsi="Segoe UI" w:cs="Segoe UI"/>
          <w:color w:val="374151"/>
          <w:shd w:val="clear" w:color="auto" w:fill="F7F7F8"/>
        </w:rPr>
      </w:pPr>
      <w:r w:rsidRPr="00F12516">
        <w:rPr>
          <w:rFonts w:ascii="Segoe UI" w:hAnsi="Segoe UI" w:cs="Segoe UI"/>
          <w:color w:val="374151"/>
          <w:shd w:val="clear" w:color="auto" w:fill="F7F7F8"/>
        </w:rPr>
        <w:t>If it is deemed necessary to incorporate exclusions from a climate index, the minimum safeguards of the Climate Transition Index would be more applicable than those of the Paris Agreement Alignment Index.</w:t>
      </w:r>
    </w:p>
    <w:p w14:paraId="41B45F51" w14:textId="77777777" w:rsidR="00DC40B9" w:rsidRPr="00F12516" w:rsidRDefault="00DC40B9" w:rsidP="00DC40B9">
      <w:pPr>
        <w:spacing w:before="22"/>
        <w:ind w:right="80"/>
        <w:jc w:val="both"/>
        <w:rPr>
          <w:rFonts w:ascii="Segoe UI" w:hAnsi="Segoe UI" w:cs="Segoe UI"/>
          <w:color w:val="374151"/>
          <w:shd w:val="clear" w:color="auto" w:fill="F7F7F8"/>
        </w:rPr>
      </w:pPr>
      <w:r w:rsidRPr="00F12516">
        <w:rPr>
          <w:rFonts w:ascii="Segoe UI" w:hAnsi="Segoe UI" w:cs="Segoe UI"/>
          <w:color w:val="374151"/>
          <w:shd w:val="clear" w:color="auto" w:fill="F7F7F8"/>
        </w:rPr>
        <w:t>Furthermore, funds oriented towards ecological transition should have additional provisions and exemptions from exclusions, linked to the disclosure of their active management strategies in high-impact or traditionally excluded sectors from climate indices.</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0B07E88E" w14:textId="77777777" w:rsidR="00DC40B9" w:rsidRDefault="00DC40B9" w:rsidP="00DC40B9">
      <w:pPr>
        <w:spacing w:before="10" w:line="260" w:lineRule="exact"/>
        <w:rPr>
          <w:rFonts w:ascii="Segoe UI" w:hAnsi="Segoe UI" w:cs="Segoe UI"/>
          <w:color w:val="374151"/>
          <w:shd w:val="clear" w:color="auto" w:fill="F7F7F8"/>
        </w:rPr>
      </w:pPr>
      <w:permStart w:id="576722602" w:edGrp="everyone"/>
      <w:r>
        <w:rPr>
          <w:rFonts w:ascii="Segoe UI" w:hAnsi="Segoe UI" w:cs="Segoe UI"/>
          <w:color w:val="374151"/>
          <w:shd w:val="clear" w:color="auto" w:fill="F7F7F8"/>
        </w:rPr>
        <w:t>Derivatives should be excluded from the rules on the use of ESG, sustainable, or impact investment fund terms when the underlying portfolio does not pursue sustainable investment strategies or is difficult to trace.</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158CA5CE" w14:textId="77777777" w:rsidR="00DC40B9" w:rsidRDefault="00DC40B9" w:rsidP="00DC40B9">
      <w:pPr>
        <w:spacing w:before="9" w:line="260" w:lineRule="exact"/>
        <w:rPr>
          <w:rFonts w:ascii="Segoe UI" w:hAnsi="Segoe UI" w:cs="Segoe UI"/>
          <w:color w:val="374151"/>
          <w:shd w:val="clear" w:color="auto" w:fill="F7F7F8"/>
        </w:rPr>
      </w:pPr>
      <w:permStart w:id="650455330" w:edGrp="everyone"/>
      <w:r>
        <w:rPr>
          <w:rFonts w:ascii="Segoe UI" w:hAnsi="Segoe UI" w:cs="Segoe UI"/>
          <w:color w:val="374151"/>
          <w:shd w:val="clear" w:color="auto" w:fill="F7F7F8"/>
        </w:rPr>
        <w:t>Yes, the term "indexed" should be included in the name and be subject to the same rules.</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6933E721" w14:textId="77777777" w:rsidR="00DC40B9" w:rsidRPr="005A381E" w:rsidRDefault="00DC40B9" w:rsidP="00DC40B9">
      <w:pPr>
        <w:ind w:left="102" w:right="81"/>
        <w:jc w:val="both"/>
        <w:rPr>
          <w:rFonts w:asciiTheme="minorHAnsi" w:eastAsia="Calibri" w:hAnsiTheme="minorHAnsi" w:cstheme="minorHAnsi"/>
          <w:sz w:val="22"/>
          <w:szCs w:val="22"/>
        </w:rPr>
      </w:pPr>
      <w:permStart w:id="1876589445" w:edGrp="everyone"/>
      <w:r>
        <w:rPr>
          <w:rFonts w:ascii="Segoe UI" w:hAnsi="Segoe UI" w:cs="Segoe UI"/>
          <w:color w:val="374151"/>
          <w:shd w:val="clear" w:color="auto" w:fill="F7F7F8"/>
        </w:rPr>
        <w:lastRenderedPageBreak/>
        <w:t>Yes. It should be distinguished whether the index is synthetic, as in that case, the sustainable collateral would only be linked to the fund's performance via a derivative or swap with collateral not necessarily linked to sustainability.</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20D9BBB5" w14:textId="77777777" w:rsidR="00DC40B9" w:rsidRPr="00A27568" w:rsidRDefault="00DC40B9" w:rsidP="00DC40B9">
      <w:pPr>
        <w:autoSpaceDE w:val="0"/>
        <w:autoSpaceDN w:val="0"/>
        <w:adjustRightInd w:val="0"/>
        <w:jc w:val="both"/>
        <w:rPr>
          <w:rFonts w:asciiTheme="minorHAnsi" w:hAnsiTheme="minorHAnsi" w:cstheme="minorHAnsi"/>
          <w:sz w:val="22"/>
          <w:szCs w:val="22"/>
        </w:rPr>
      </w:pPr>
      <w:permStart w:id="1992309739" w:edGrp="everyone"/>
      <w:r w:rsidRPr="00A27568">
        <w:rPr>
          <w:rFonts w:asciiTheme="minorHAnsi" w:hAnsiTheme="minorHAnsi" w:cstheme="minorHAnsi"/>
          <w:sz w:val="22"/>
          <w:szCs w:val="22"/>
        </w:rPr>
        <w:t xml:space="preserve">Regarding the additional provisions for the term "impact," it is notable the differences between the definition of impact investing given by the regulator and supervisor in the EU and the definition by the GIIN adopted in other regions, such as the FCA of the UK. </w:t>
      </w:r>
    </w:p>
    <w:p w14:paraId="5C02D09D" w14:textId="77777777" w:rsidR="00DC40B9" w:rsidRPr="00A27568" w:rsidRDefault="00DC40B9" w:rsidP="00DC40B9">
      <w:pPr>
        <w:autoSpaceDE w:val="0"/>
        <w:autoSpaceDN w:val="0"/>
        <w:adjustRightInd w:val="0"/>
        <w:jc w:val="both"/>
        <w:rPr>
          <w:rFonts w:asciiTheme="minorHAnsi" w:hAnsiTheme="minorHAnsi" w:cstheme="minorHAnsi"/>
          <w:sz w:val="22"/>
          <w:szCs w:val="22"/>
        </w:rPr>
      </w:pPr>
      <w:r w:rsidRPr="00A27568">
        <w:rPr>
          <w:rFonts w:asciiTheme="minorHAnsi" w:hAnsiTheme="minorHAnsi" w:cstheme="minorHAnsi"/>
          <w:sz w:val="22"/>
          <w:szCs w:val="22"/>
        </w:rPr>
        <w:t xml:space="preserve">The Impact Task Force (ITF) initiative promoted by the G7 and GSG distinguishes between “impact-aligned” investments and “impact-generating” investments (Busch et al. 2021). Both categories focus on addressing specific environmental and social challenges and incorporate a follow-up approach to investments, although the latter must contribute to specific solutions to these problems, incorporating additional capital and the need to measure future goal achievement with a medium to long-term perspective (the ITF proposal and Busch et al.'s classification (2021) are adapted by </w:t>
      </w:r>
      <w:proofErr w:type="spellStart"/>
      <w:r w:rsidRPr="00A27568">
        <w:rPr>
          <w:rFonts w:asciiTheme="minorHAnsi" w:hAnsiTheme="minorHAnsi" w:cstheme="minorHAnsi"/>
          <w:sz w:val="22"/>
          <w:szCs w:val="22"/>
        </w:rPr>
        <w:t>Eurosif</w:t>
      </w:r>
      <w:proofErr w:type="spellEnd"/>
      <w:r w:rsidRPr="00A27568">
        <w:rPr>
          <w:rFonts w:asciiTheme="minorHAnsi" w:hAnsiTheme="minorHAnsi" w:cstheme="minorHAnsi"/>
          <w:sz w:val="22"/>
          <w:szCs w:val="22"/>
        </w:rPr>
        <w:t xml:space="preserve"> and the University of Hamburg in their White Paper).</w:t>
      </w:r>
    </w:p>
    <w:p w14:paraId="730A0A46" w14:textId="77777777" w:rsidR="00DC40B9" w:rsidRPr="009050E3" w:rsidRDefault="00DC40B9" w:rsidP="00DC40B9">
      <w:pPr>
        <w:autoSpaceDE w:val="0"/>
        <w:autoSpaceDN w:val="0"/>
        <w:adjustRightInd w:val="0"/>
        <w:jc w:val="both"/>
        <w:rPr>
          <w:rFonts w:asciiTheme="minorHAnsi" w:hAnsiTheme="minorHAnsi" w:cstheme="minorHAnsi"/>
          <w:sz w:val="22"/>
          <w:szCs w:val="22"/>
        </w:rPr>
      </w:pPr>
      <w:r w:rsidRPr="00A27568">
        <w:rPr>
          <w:rFonts w:asciiTheme="minorHAnsi" w:hAnsiTheme="minorHAnsi" w:cstheme="minorHAnsi"/>
          <w:sz w:val="22"/>
          <w:szCs w:val="22"/>
        </w:rPr>
        <w:t>On the other hand, with a more restrictive approach, there is the concept of impact investing by the GIIN, which requires an investment objective in problems unaddressed by the market, a strategy that explains a Theory of Change Model without necessarily giving up a financial return, and the need to measure the impact in social and environmental terms.</w:t>
      </w:r>
    </w:p>
    <w:permEnd w:id="1992309739"/>
    <w:p w14:paraId="14AB0C87" w14:textId="6E9D3A7D"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72625447" w14:textId="77777777" w:rsidR="00DC40B9" w:rsidRDefault="00DC40B9" w:rsidP="00DC40B9">
      <w:pPr>
        <w:ind w:left="102" w:right="77"/>
        <w:jc w:val="both"/>
        <w:rPr>
          <w:rFonts w:asciiTheme="minorHAnsi" w:eastAsia="Calibri" w:hAnsiTheme="minorHAnsi" w:cstheme="minorHAnsi"/>
          <w:sz w:val="22"/>
          <w:szCs w:val="22"/>
        </w:rPr>
      </w:pPr>
      <w:permStart w:id="1423966990" w:edGrp="everyone"/>
    </w:p>
    <w:p w14:paraId="41482260" w14:textId="77777777" w:rsidR="00DC40B9" w:rsidRPr="00A27568" w:rsidRDefault="00DC40B9" w:rsidP="00DC40B9">
      <w:pPr>
        <w:spacing w:line="200" w:lineRule="exact"/>
        <w:rPr>
          <w:rFonts w:asciiTheme="minorHAnsi" w:hAnsiTheme="minorHAnsi" w:cstheme="minorHAnsi"/>
          <w:sz w:val="22"/>
          <w:szCs w:val="22"/>
        </w:rPr>
      </w:pPr>
      <w:r w:rsidRPr="00A27568">
        <w:rPr>
          <w:rFonts w:asciiTheme="minorHAnsi" w:hAnsiTheme="minorHAnsi" w:cstheme="minorHAnsi"/>
          <w:sz w:val="22"/>
          <w:szCs w:val="22"/>
        </w:rPr>
        <w:t xml:space="preserve">Yes, there should be specific terms for “transition” and the safeguards should entail less strict exclusions, linked to greater disclosure about each product's transition strategy. </w:t>
      </w:r>
    </w:p>
    <w:p w14:paraId="075B9D03" w14:textId="77777777" w:rsidR="00DC40B9" w:rsidRPr="00A27568" w:rsidRDefault="00DC40B9" w:rsidP="00DC40B9">
      <w:pPr>
        <w:spacing w:line="200" w:lineRule="exact"/>
        <w:rPr>
          <w:rFonts w:asciiTheme="minorHAnsi" w:hAnsiTheme="minorHAnsi" w:cstheme="minorHAnsi"/>
          <w:sz w:val="22"/>
          <w:szCs w:val="22"/>
        </w:rPr>
      </w:pPr>
      <w:proofErr w:type="spellStart"/>
      <w:r w:rsidRPr="00A27568">
        <w:rPr>
          <w:rFonts w:asciiTheme="minorHAnsi" w:hAnsiTheme="minorHAnsi" w:cstheme="minorHAnsi"/>
          <w:sz w:val="22"/>
          <w:szCs w:val="22"/>
        </w:rPr>
        <w:t>Eurosif</w:t>
      </w:r>
      <w:proofErr w:type="spellEnd"/>
      <w:r w:rsidRPr="00A27568">
        <w:rPr>
          <w:rFonts w:asciiTheme="minorHAnsi" w:hAnsiTheme="minorHAnsi" w:cstheme="minorHAnsi"/>
          <w:sz w:val="22"/>
          <w:szCs w:val="22"/>
        </w:rPr>
        <w:t xml:space="preserve"> and the University of Hamburg in their joint White Paper mentioned earlier incorporate transition objective investments within the category of “impact generating” investments, although they do not mention the requirement of additional capital. In this context, funds that invest using active ownership strategies (engagement and voting) or best-in-class/best-in-universe strategies with impact objectives linked to invested capital in climate transition (or any other environmental transition with a different objective -biodiversity, circular economy, pollution, etc.) could be considered as “impact generating” investments. In any case, these funds with names linked to the transition would be incompatible with the </w:t>
      </w:r>
      <w:proofErr w:type="gramStart"/>
      <w:r w:rsidRPr="00A27568">
        <w:rPr>
          <w:rFonts w:asciiTheme="minorHAnsi" w:hAnsiTheme="minorHAnsi" w:cstheme="minorHAnsi"/>
          <w:sz w:val="22"/>
          <w:szCs w:val="22"/>
        </w:rPr>
        <w:t>activities</w:t>
      </w:r>
      <w:proofErr w:type="gramEnd"/>
      <w:r w:rsidRPr="00A27568">
        <w:rPr>
          <w:rFonts w:asciiTheme="minorHAnsi" w:hAnsiTheme="minorHAnsi" w:cstheme="minorHAnsi"/>
          <w:sz w:val="22"/>
          <w:szCs w:val="22"/>
        </w:rPr>
        <w:t xml:space="preserve"> exclusion criteria and the exclusion criteria of climate indices, particularly those established for Paris Agreement-aligned climate benchmarks. </w:t>
      </w:r>
    </w:p>
    <w:p w14:paraId="60A3314A" w14:textId="77777777" w:rsidR="00DC40B9" w:rsidRPr="00A27568" w:rsidRDefault="00DC40B9" w:rsidP="00DC40B9">
      <w:pPr>
        <w:spacing w:line="200" w:lineRule="exact"/>
        <w:rPr>
          <w:rFonts w:asciiTheme="minorHAnsi" w:hAnsiTheme="minorHAnsi" w:cstheme="minorHAnsi"/>
          <w:sz w:val="22"/>
          <w:szCs w:val="22"/>
        </w:rPr>
      </w:pPr>
      <w:r w:rsidRPr="00A27568">
        <w:rPr>
          <w:rFonts w:asciiTheme="minorHAnsi" w:hAnsiTheme="minorHAnsi" w:cstheme="minorHAnsi"/>
          <w:sz w:val="22"/>
          <w:szCs w:val="22"/>
        </w:rPr>
        <w:t>Similarly, it would be helpful to clarify the concept of transition, for example:</w:t>
      </w:r>
    </w:p>
    <w:p w14:paraId="6FA6BC5F" w14:textId="77777777" w:rsidR="00DC40B9" w:rsidRPr="00A27568" w:rsidRDefault="00DC40B9" w:rsidP="00DC40B9">
      <w:pPr>
        <w:spacing w:line="200" w:lineRule="exact"/>
        <w:rPr>
          <w:rFonts w:asciiTheme="minorHAnsi" w:hAnsiTheme="minorHAnsi" w:cstheme="minorHAnsi"/>
          <w:sz w:val="22"/>
          <w:szCs w:val="22"/>
        </w:rPr>
      </w:pPr>
      <w:r w:rsidRPr="00A27568">
        <w:rPr>
          <w:rFonts w:asciiTheme="minorHAnsi" w:hAnsiTheme="minorHAnsi" w:cstheme="minorHAnsi"/>
          <w:sz w:val="22"/>
          <w:szCs w:val="22"/>
        </w:rPr>
        <w:t>1.</w:t>
      </w:r>
      <w:r w:rsidRPr="00A27568">
        <w:rPr>
          <w:rFonts w:asciiTheme="minorHAnsi" w:hAnsiTheme="minorHAnsi" w:cstheme="minorHAnsi"/>
          <w:sz w:val="22"/>
          <w:szCs w:val="22"/>
        </w:rPr>
        <w:tab/>
        <w:t>if it is limited exclusively to the concept of transition activities as defined in the Taxonomy, or</w:t>
      </w:r>
    </w:p>
    <w:p w14:paraId="6A957634" w14:textId="77777777" w:rsidR="00DC40B9" w:rsidRPr="005A381E" w:rsidRDefault="00DC40B9" w:rsidP="00DC40B9">
      <w:pPr>
        <w:spacing w:line="200" w:lineRule="exact"/>
        <w:rPr>
          <w:rFonts w:asciiTheme="minorHAnsi" w:hAnsiTheme="minorHAnsi" w:cstheme="minorHAnsi"/>
          <w:sz w:val="22"/>
          <w:szCs w:val="22"/>
        </w:rPr>
      </w:pPr>
      <w:r w:rsidRPr="00A27568">
        <w:rPr>
          <w:rFonts w:asciiTheme="minorHAnsi" w:hAnsiTheme="minorHAnsi" w:cstheme="minorHAnsi"/>
          <w:sz w:val="22"/>
          <w:szCs w:val="22"/>
        </w:rPr>
        <w:t>2.</w:t>
      </w:r>
      <w:r w:rsidRPr="00A27568">
        <w:rPr>
          <w:rFonts w:asciiTheme="minorHAnsi" w:hAnsiTheme="minorHAnsi" w:cstheme="minorHAnsi"/>
          <w:sz w:val="22"/>
          <w:szCs w:val="22"/>
        </w:rPr>
        <w:tab/>
        <w:t>if it refers to the Climate Transition Plans as defined in Article 15 of the proposed text of the European Commission's Corporate Due Diligence Directive on Sustainability.</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2EC5ACEC" w14:textId="77777777" w:rsidR="00DC40B9" w:rsidRDefault="00DC40B9" w:rsidP="00DC40B9">
      <w:pPr>
        <w:spacing w:before="9" w:line="260" w:lineRule="exact"/>
        <w:jc w:val="both"/>
        <w:rPr>
          <w:rFonts w:ascii="Segoe UI" w:hAnsi="Segoe UI" w:cs="Segoe UI"/>
          <w:color w:val="374151"/>
          <w:shd w:val="clear" w:color="auto" w:fill="F7F7F8"/>
        </w:rPr>
      </w:pPr>
      <w:permStart w:id="1434478937" w:edGrp="everyone"/>
      <w:r>
        <w:rPr>
          <w:rFonts w:ascii="Segoe UI" w:hAnsi="Segoe UI" w:cs="Segoe UI"/>
          <w:color w:val="374151"/>
          <w:shd w:val="clear" w:color="auto" w:fill="F7F7F8"/>
        </w:rPr>
        <w:t xml:space="preserve">The direct correlation of these guidelines with SFDR would hardly be transferable to other credit financial products, for example, as the commercial </w:t>
      </w:r>
      <w:proofErr w:type="spellStart"/>
      <w:r>
        <w:rPr>
          <w:rFonts w:ascii="Segoe UI" w:hAnsi="Segoe UI" w:cs="Segoe UI"/>
          <w:color w:val="374151"/>
          <w:shd w:val="clear" w:color="auto" w:fill="F7F7F8"/>
        </w:rPr>
        <w:t>catalog</w:t>
      </w:r>
      <w:proofErr w:type="spellEnd"/>
      <w:r>
        <w:rPr>
          <w:rFonts w:ascii="Segoe UI" w:hAnsi="Segoe UI" w:cs="Segoe UI"/>
          <w:color w:val="374151"/>
          <w:shd w:val="clear" w:color="auto" w:fill="F7F7F8"/>
        </w:rPr>
        <w:t xml:space="preserve"> is configured (green mortgages, sustainable consumer credits, green guarantees, etc.), although the use of certain words for retail customers should carry the same type of truthfulness and rigor, regardless of the financial product to which it </w:t>
      </w:r>
      <w:r>
        <w:rPr>
          <w:rFonts w:ascii="Segoe UI" w:hAnsi="Segoe UI" w:cs="Segoe UI"/>
          <w:color w:val="374151"/>
          <w:shd w:val="clear" w:color="auto" w:fill="F7F7F8"/>
        </w:rPr>
        <w:lastRenderedPageBreak/>
        <w:t>refers. It could be applied to pension plans, unit-linked products, or the designation of discretionary portfolios that seek ESG aspects promotion objectives.</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7C8B262" w14:textId="77777777" w:rsidR="00DC40B9" w:rsidRDefault="00DC40B9" w:rsidP="00DC40B9">
      <w:pPr>
        <w:spacing w:before="9" w:line="260" w:lineRule="exact"/>
        <w:jc w:val="both"/>
        <w:rPr>
          <w:rFonts w:ascii="Segoe UI" w:hAnsi="Segoe UI" w:cs="Segoe UI"/>
          <w:color w:val="374151"/>
          <w:shd w:val="clear" w:color="auto" w:fill="F7F7F8"/>
        </w:rPr>
      </w:pPr>
      <w:permStart w:id="489244833" w:edGrp="everyone"/>
      <w:r>
        <w:rPr>
          <w:rFonts w:ascii="Segoe UI" w:hAnsi="Segoe UI" w:cs="Segoe UI"/>
          <w:color w:val="374151"/>
          <w:shd w:val="clear" w:color="auto" w:fill="F7F7F8"/>
        </w:rPr>
        <w:t xml:space="preserve">It is recommended to establish a sufficient adaptation period for funds to comply with the guidelines proposed by ESMA. Similarly, understanding that a change in name would need to be communicated to the participants, it would be interesting to assess how much a name change can influence disclosure practices under SFDR and its resulting reclassifications, if any, </w:t>
      </w:r>
      <w:proofErr w:type="gramStart"/>
      <w:r>
        <w:rPr>
          <w:rFonts w:ascii="Segoe UI" w:hAnsi="Segoe UI" w:cs="Segoe UI"/>
          <w:color w:val="374151"/>
          <w:shd w:val="clear" w:color="auto" w:fill="F7F7F8"/>
        </w:rPr>
        <w:t>in order to</w:t>
      </w:r>
      <w:proofErr w:type="gramEnd"/>
      <w:r>
        <w:rPr>
          <w:rFonts w:ascii="Segoe UI" w:hAnsi="Segoe UI" w:cs="Segoe UI"/>
          <w:color w:val="374151"/>
          <w:shd w:val="clear" w:color="auto" w:fill="F7F7F8"/>
        </w:rPr>
        <w:t xml:space="preserve"> establish one or the other timeframe. </w:t>
      </w:r>
    </w:p>
    <w:p w14:paraId="19703BFC" w14:textId="77777777" w:rsidR="00DC40B9" w:rsidRDefault="00DC40B9" w:rsidP="00DC40B9">
      <w:pPr>
        <w:spacing w:before="9" w:line="260" w:lineRule="exact"/>
        <w:jc w:val="both"/>
        <w:rPr>
          <w:rFonts w:ascii="Segoe UI" w:hAnsi="Segoe UI" w:cs="Segoe UI"/>
          <w:color w:val="374151"/>
          <w:shd w:val="clear" w:color="auto" w:fill="F7F7F8"/>
        </w:rPr>
      </w:pPr>
      <w:r>
        <w:rPr>
          <w:rFonts w:ascii="Segoe UI" w:hAnsi="Segoe UI" w:cs="Segoe UI"/>
          <w:color w:val="374151"/>
          <w:shd w:val="clear" w:color="auto" w:fill="F7F7F8"/>
        </w:rPr>
        <w:t xml:space="preserve">It is important to understand the procedure to follow in case of non-compliance with the guidelines, as well as the consequences of a name change and/or reclassification under SFDR with respect to the right of withdrawal of participants or the obligation to modify the prospectuses. </w:t>
      </w:r>
    </w:p>
    <w:p w14:paraId="01B9F8FC" w14:textId="77777777" w:rsidR="00DC40B9" w:rsidRDefault="00DC40B9" w:rsidP="00DC40B9">
      <w:pPr>
        <w:spacing w:before="9" w:line="260" w:lineRule="exact"/>
        <w:jc w:val="both"/>
        <w:rPr>
          <w:rFonts w:ascii="Segoe UI" w:hAnsi="Segoe UI" w:cs="Segoe UI"/>
          <w:color w:val="374151"/>
          <w:shd w:val="clear" w:color="auto" w:fill="F7F7F8"/>
        </w:rPr>
      </w:pPr>
      <w:r>
        <w:rPr>
          <w:rFonts w:ascii="Segoe UI" w:hAnsi="Segoe UI" w:cs="Segoe UI"/>
          <w:color w:val="374151"/>
          <w:shd w:val="clear" w:color="auto" w:fill="F7F7F8"/>
        </w:rPr>
        <w:t>Therefore, it is suggested to extend the adaptation period to 12 months.</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91285E9" w14:textId="77777777" w:rsidR="00DC40B9" w:rsidRDefault="00DC40B9" w:rsidP="00DC40B9">
      <w:pPr>
        <w:spacing w:before="9" w:line="260" w:lineRule="exact"/>
        <w:jc w:val="both"/>
        <w:rPr>
          <w:rFonts w:ascii="Segoe UI" w:hAnsi="Segoe UI" w:cs="Segoe UI"/>
          <w:color w:val="374151"/>
          <w:shd w:val="clear" w:color="auto" w:fill="F7F7F8"/>
        </w:rPr>
      </w:pPr>
      <w:permStart w:id="1766353355" w:edGrp="everyone"/>
      <w:r>
        <w:rPr>
          <w:rFonts w:ascii="Segoe UI" w:hAnsi="Segoe UI" w:cs="Segoe UI"/>
          <w:color w:val="374151"/>
          <w:shd w:val="clear" w:color="auto" w:fill="F7F7F8"/>
        </w:rPr>
        <w:t>There are arguments for and against the retroactive application of the guidance. On the one hand, it is positive that the guidance applies uniformly to all fund names to ensure comparability, regardless of their type, since the name of the fund is relevant in all types of markets. On the other hand, the closed-ended funds are funds that complied with the framework at the time of establishment, which have a more limited possibility of re-selling than open-ended funds, and which may have difficulty attributing the cost of the name change to the original management fees. In any case, if a name change is required in these cases, it should be accompanied by communication to the investor indicating that it does not involve a substantial modification of the investment objectives and strategy committed by the fund.</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13815F21" w14:textId="77777777" w:rsidR="00DC40B9" w:rsidRPr="00C313BF" w:rsidRDefault="00DC40B9" w:rsidP="00DC40B9">
      <w:pPr>
        <w:spacing w:before="9" w:line="260" w:lineRule="exact"/>
        <w:jc w:val="both"/>
        <w:rPr>
          <w:rFonts w:ascii="Segoe UI" w:hAnsi="Segoe UI" w:cs="Segoe UI"/>
          <w:color w:val="374151"/>
          <w:shd w:val="clear" w:color="auto" w:fill="F7F7F8"/>
        </w:rPr>
      </w:pPr>
      <w:permStart w:id="929254269" w:edGrp="everyone"/>
      <w:r>
        <w:rPr>
          <w:rFonts w:ascii="Segoe UI" w:hAnsi="Segoe UI" w:cs="Segoe UI"/>
          <w:color w:val="374151"/>
          <w:shd w:val="clear" w:color="auto" w:fill="F7F7F8"/>
        </w:rPr>
        <w:t>The impact of ESMA's proposed guidelines on the universe of Article 6 funds that use sustainability-related nomenclature, as well as Article 8 and 9 funds based on their alignment with the proposed thresholds, aside, it could affect market participants' perception of what their original SFDR disclosures should be.</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428938DF" w14:textId="77777777" w:rsidR="00DC40B9" w:rsidRDefault="00DC40B9" w:rsidP="00DC40B9">
      <w:pPr>
        <w:ind w:left="102" w:right="79"/>
        <w:jc w:val="both"/>
        <w:rPr>
          <w:rFonts w:ascii="Calibri" w:eastAsia="Calibri" w:hAnsi="Calibri" w:cs="Calibri"/>
          <w:sz w:val="22"/>
          <w:szCs w:val="22"/>
        </w:rPr>
        <w:sectPr w:rsidR="00DC40B9">
          <w:pgSz w:w="11920" w:h="16840"/>
          <w:pgMar w:top="1340" w:right="1580" w:bottom="280" w:left="1600" w:header="720" w:footer="720" w:gutter="0"/>
          <w:cols w:space="720"/>
        </w:sectPr>
      </w:pPr>
      <w:permStart w:id="878708964" w:edGrp="everyone"/>
      <w:r>
        <w:rPr>
          <w:rFonts w:ascii="Segoe UI" w:hAnsi="Segoe UI" w:cs="Segoe UI"/>
          <w:color w:val="374151"/>
          <w:shd w:val="clear" w:color="auto" w:fill="F7F7F8"/>
        </w:rPr>
        <w:t>The cost of changing fund names would generate a multitude of impacts on staffing, communication with investors, pre-contractual and post-contractual information, internal and sectorial coordination, training of financial advisors, possible modification of suitability tests regarding the integration of sustainability preferences, etc.</w:t>
      </w:r>
    </w:p>
    <w:permEnd w:id="878708964"/>
    <w:p w14:paraId="651FE8BB" w14:textId="77777777" w:rsidR="00B92885" w:rsidRDefault="00B92885" w:rsidP="00B92885">
      <w:r>
        <w:lastRenderedPageBreak/>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8C31" w14:textId="77777777" w:rsidR="00C812AE" w:rsidRDefault="00C812AE">
      <w:r>
        <w:separator/>
      </w:r>
    </w:p>
    <w:p w14:paraId="5BB70685" w14:textId="77777777" w:rsidR="00C812AE" w:rsidRDefault="00C812AE"/>
  </w:endnote>
  <w:endnote w:type="continuationSeparator" w:id="0">
    <w:p w14:paraId="72DB0B06" w14:textId="77777777" w:rsidR="00C812AE" w:rsidRDefault="00C812AE">
      <w:r>
        <w:continuationSeparator/>
      </w:r>
    </w:p>
    <w:p w14:paraId="5842DC8A" w14:textId="77777777" w:rsidR="00C812AE" w:rsidRDefault="00C812AE"/>
  </w:endnote>
  <w:endnote w:type="continuationNotice" w:id="1">
    <w:p w14:paraId="3F601198" w14:textId="77777777" w:rsidR="00C812AE" w:rsidRDefault="00C81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EUAlbertina">
    <w:altName w:val="Cambria"/>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Liberation Serif">
    <w:altName w:val="Times New Roman"/>
    <w:panose1 w:val="020B0604020202020204"/>
    <w:charset w:val="00"/>
    <w:family w:val="roman"/>
    <w:pitch w:val="variable"/>
  </w:font>
  <w:font w:name="Myriad Pro Light">
    <w:altName w:val="Corbel"/>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Piedepgina"/>
      <w:tabs>
        <w:tab w:val="clear" w:pos="4536"/>
        <w:tab w:val="clear" w:pos="9072"/>
        <w:tab w:val="left" w:pos="8227"/>
        <w:tab w:val="right" w:pos="9412"/>
      </w:tabs>
    </w:pPr>
    <w:r>
      <w:tab/>
    </w:r>
    <w:r w:rsidR="00B92885">
      <w:tab/>
    </w:r>
  </w:p>
  <w:p w14:paraId="3A793707" w14:textId="084F8123" w:rsidR="00B92885" w:rsidRDefault="00B92885" w:rsidP="00B92885">
    <w:pPr>
      <w:pStyle w:val="Piedepgina"/>
      <w:tabs>
        <w:tab w:val="clear" w:pos="4536"/>
        <w:tab w:val="clear" w:pos="9072"/>
        <w:tab w:val="left" w:pos="8227"/>
        <w:tab w:val="right" w:pos="9412"/>
      </w:tabs>
    </w:pPr>
    <w:r>
      <w:tab/>
    </w:r>
    <w:r>
      <w:tab/>
    </w:r>
    <w:r>
      <w:tab/>
    </w:r>
  </w:p>
  <w:p w14:paraId="6D19C66C" w14:textId="10DE0B9B" w:rsidR="00B92885" w:rsidRDefault="00B92885" w:rsidP="00B92885">
    <w:pPr>
      <w:pStyle w:val="Piedepgina"/>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9F188" w14:textId="77777777" w:rsidR="00C812AE" w:rsidRDefault="00C812AE">
      <w:r>
        <w:separator/>
      </w:r>
    </w:p>
    <w:p w14:paraId="56C3CC84" w14:textId="77777777" w:rsidR="00C812AE" w:rsidRDefault="00C812AE"/>
  </w:footnote>
  <w:footnote w:type="continuationSeparator" w:id="0">
    <w:p w14:paraId="3011DD1C" w14:textId="77777777" w:rsidR="00C812AE" w:rsidRDefault="00C812AE">
      <w:r>
        <w:continuationSeparator/>
      </w:r>
    </w:p>
    <w:p w14:paraId="385C3864" w14:textId="77777777" w:rsidR="00C812AE" w:rsidRDefault="00C812AE"/>
  </w:footnote>
  <w:footnote w:type="continuationNotice" w:id="1">
    <w:p w14:paraId="304180FF" w14:textId="77777777" w:rsidR="00C812AE" w:rsidRDefault="00C812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Encabezado"/>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Encabezado"/>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Encabezado"/>
      <w:rPr>
        <w:lang w:val="fr-FR"/>
      </w:rPr>
    </w:pPr>
  </w:p>
  <w:p w14:paraId="3F30C70B" w14:textId="77777777" w:rsidR="00267551" w:rsidRPr="002F4496" w:rsidRDefault="00267551" w:rsidP="000C06C9">
    <w:pPr>
      <w:pStyle w:val="Encabezado"/>
      <w:tabs>
        <w:tab w:val="clear" w:pos="4536"/>
        <w:tab w:val="clear" w:pos="9072"/>
        <w:tab w:val="left" w:pos="8227"/>
      </w:tabs>
      <w:rPr>
        <w:lang w:val="fr-FR"/>
      </w:rPr>
    </w:pPr>
  </w:p>
  <w:p w14:paraId="4D50BC39" w14:textId="77777777" w:rsidR="00267551" w:rsidRPr="002F4496" w:rsidRDefault="00267551" w:rsidP="00583885">
    <w:pPr>
      <w:pStyle w:val="Encabezado"/>
      <w:jc w:val="right"/>
      <w:rPr>
        <w:lang w:val="fr-FR"/>
      </w:rPr>
    </w:pPr>
  </w:p>
  <w:p w14:paraId="2D51BEA2" w14:textId="77777777" w:rsidR="00267551" w:rsidRPr="002F4496" w:rsidRDefault="00267551">
    <w:pPr>
      <w:pStyle w:val="Encabezado"/>
      <w:rPr>
        <w:lang w:val="fr-FR"/>
      </w:rPr>
    </w:pPr>
  </w:p>
  <w:p w14:paraId="340B2438" w14:textId="77777777" w:rsidR="00267551" w:rsidRPr="002F4496" w:rsidRDefault="00267551">
    <w:pPr>
      <w:pStyle w:val="Encabezado"/>
      <w:rPr>
        <w:lang w:val="fr-FR"/>
      </w:rPr>
    </w:pPr>
  </w:p>
  <w:p w14:paraId="2A794A3E" w14:textId="77777777" w:rsidR="00267551" w:rsidRPr="002F4496" w:rsidRDefault="00267551">
    <w:pPr>
      <w:pStyle w:val="Encabezado"/>
      <w:rPr>
        <w:lang w:val="fr-FR"/>
      </w:rPr>
    </w:pPr>
  </w:p>
  <w:p w14:paraId="0A21F475" w14:textId="77777777" w:rsidR="00267551" w:rsidRPr="002F4496" w:rsidRDefault="00267551">
    <w:pPr>
      <w:pStyle w:val="Encabezado"/>
      <w:rPr>
        <w:highlight w:val="yellow"/>
        <w:lang w:val="fr-FR"/>
      </w:rPr>
    </w:pPr>
  </w:p>
  <w:p w14:paraId="53ABEE5D" w14:textId="77777777" w:rsidR="00267551" w:rsidRDefault="00267551">
    <w:pPr>
      <w:pStyle w:val="Encabezado"/>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aconvieta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Textoindependiente"/>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aconvieta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Listaconvieta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Ttulo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Ttulo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Listaconnmeros"/>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480654472">
    <w:abstractNumId w:val="16"/>
  </w:num>
  <w:num w:numId="2" w16cid:durableId="734162838">
    <w:abstractNumId w:val="18"/>
  </w:num>
  <w:num w:numId="3" w16cid:durableId="1769740173">
    <w:abstractNumId w:val="11"/>
  </w:num>
  <w:num w:numId="4" w16cid:durableId="1264386585">
    <w:abstractNumId w:val="23"/>
  </w:num>
  <w:num w:numId="5" w16cid:durableId="2115972507">
    <w:abstractNumId w:val="25"/>
  </w:num>
  <w:num w:numId="6" w16cid:durableId="1232229025">
    <w:abstractNumId w:val="0"/>
  </w:num>
  <w:num w:numId="7" w16cid:durableId="1875994960">
    <w:abstractNumId w:val="3"/>
  </w:num>
  <w:num w:numId="8" w16cid:durableId="16806173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8836389">
    <w:abstractNumId w:val="31"/>
  </w:num>
  <w:num w:numId="10" w16cid:durableId="2530513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94223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2907238">
    <w:abstractNumId w:val="27"/>
  </w:num>
  <w:num w:numId="13" w16cid:durableId="1378621739">
    <w:abstractNumId w:val="30"/>
  </w:num>
  <w:num w:numId="14" w16cid:durableId="1178351557">
    <w:abstractNumId w:val="22"/>
  </w:num>
  <w:num w:numId="15" w16cid:durableId="891888384">
    <w:abstractNumId w:val="10"/>
  </w:num>
  <w:num w:numId="16" w16cid:durableId="437872727">
    <w:abstractNumId w:val="1"/>
  </w:num>
  <w:num w:numId="17" w16cid:durableId="2070569095">
    <w:abstractNumId w:val="14"/>
  </w:num>
  <w:num w:numId="18" w16cid:durableId="462847445">
    <w:abstractNumId w:val="15"/>
  </w:num>
  <w:num w:numId="19" w16cid:durableId="115759307">
    <w:abstractNumId w:val="17"/>
  </w:num>
  <w:num w:numId="20" w16cid:durableId="24450249">
    <w:abstractNumId w:val="26"/>
  </w:num>
  <w:num w:numId="21" w16cid:durableId="914706513">
    <w:abstractNumId w:val="36"/>
  </w:num>
  <w:num w:numId="22" w16cid:durableId="278802293">
    <w:abstractNumId w:val="24"/>
  </w:num>
  <w:num w:numId="23" w16cid:durableId="709260279">
    <w:abstractNumId w:val="9"/>
  </w:num>
  <w:num w:numId="24" w16cid:durableId="2074422293">
    <w:abstractNumId w:val="29"/>
  </w:num>
  <w:num w:numId="25" w16cid:durableId="426468294">
    <w:abstractNumId w:val="28"/>
  </w:num>
  <w:num w:numId="26" w16cid:durableId="431098384">
    <w:abstractNumId w:val="19"/>
  </w:num>
  <w:num w:numId="27" w16cid:durableId="252519869">
    <w:abstractNumId w:val="32"/>
  </w:num>
  <w:num w:numId="28" w16cid:durableId="325472737">
    <w:abstractNumId w:val="38"/>
  </w:num>
  <w:num w:numId="29" w16cid:durableId="46953273">
    <w:abstractNumId w:val="7"/>
  </w:num>
  <w:num w:numId="30" w16cid:durableId="188301446">
    <w:abstractNumId w:val="2"/>
  </w:num>
  <w:num w:numId="31" w16cid:durableId="597718541">
    <w:abstractNumId w:val="21"/>
  </w:num>
  <w:num w:numId="32" w16cid:durableId="1286427911">
    <w:abstractNumId w:val="20"/>
  </w:num>
  <w:num w:numId="33" w16cid:durableId="1493642042">
    <w:abstractNumId w:val="34"/>
  </w:num>
  <w:num w:numId="34" w16cid:durableId="1617061821">
    <w:abstractNumId w:val="33"/>
  </w:num>
  <w:num w:numId="35" w16cid:durableId="1003708535">
    <w:abstractNumId w:val="4"/>
  </w:num>
  <w:num w:numId="36" w16cid:durableId="844631185">
    <w:abstractNumId w:val="35"/>
  </w:num>
  <w:num w:numId="37" w16cid:durableId="398211329">
    <w:abstractNumId w:val="20"/>
    <w:lvlOverride w:ilvl="0">
      <w:startOverride w:val="1"/>
    </w:lvlOverride>
  </w:num>
  <w:num w:numId="38" w16cid:durableId="1397699292">
    <w:abstractNumId w:val="20"/>
  </w:num>
  <w:num w:numId="39" w16cid:durableId="1943763993">
    <w:abstractNumId w:val="12"/>
  </w:num>
  <w:num w:numId="40" w16cid:durableId="1122071859">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4B01"/>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2AE"/>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0B9"/>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Ttulo1">
    <w:name w:val="heading 1"/>
    <w:basedOn w:val="Normal"/>
    <w:next w:val="Normal"/>
    <w:link w:val="Ttulo1Car"/>
    <w:qFormat/>
    <w:locked/>
    <w:rsid w:val="009E7724"/>
    <w:pPr>
      <w:keepNext/>
      <w:numPr>
        <w:numId w:val="5"/>
      </w:numPr>
      <w:spacing w:before="240" w:after="60"/>
      <w:outlineLvl w:val="0"/>
    </w:pPr>
    <w:rPr>
      <w:rFonts w:cs="Arial"/>
      <w:b/>
      <w:bCs/>
      <w:kern w:val="32"/>
      <w:sz w:val="24"/>
      <w:szCs w:val="32"/>
    </w:rPr>
  </w:style>
  <w:style w:type="paragraph" w:styleId="Ttulo2">
    <w:name w:val="heading 2"/>
    <w:basedOn w:val="Normal"/>
    <w:next w:val="Normal"/>
    <w:link w:val="Ttulo2Car"/>
    <w:qFormat/>
    <w:locked/>
    <w:rsid w:val="00886A60"/>
    <w:pPr>
      <w:keepNext/>
      <w:keepLines/>
      <w:spacing w:before="200" w:after="120"/>
      <w:outlineLvl w:val="1"/>
    </w:pPr>
    <w:rPr>
      <w:b/>
      <w:bCs/>
      <w:szCs w:val="26"/>
    </w:rPr>
  </w:style>
  <w:style w:type="paragraph" w:styleId="Ttulo3">
    <w:name w:val="heading 3"/>
    <w:basedOn w:val="Normal"/>
    <w:next w:val="Normal"/>
    <w:link w:val="Ttulo3Car"/>
    <w:qFormat/>
    <w:locked/>
    <w:rsid w:val="003865E5"/>
    <w:pPr>
      <w:keepNext/>
      <w:keepLines/>
      <w:spacing w:before="200"/>
      <w:outlineLvl w:val="2"/>
    </w:pPr>
    <w:rPr>
      <w:rFonts w:ascii="Cambria" w:hAnsi="Cambria"/>
      <w:b/>
      <w:bCs/>
      <w:color w:val="4F81BD"/>
    </w:rPr>
  </w:style>
  <w:style w:type="paragraph" w:styleId="Ttulo4">
    <w:name w:val="heading 4"/>
    <w:basedOn w:val="Normal"/>
    <w:next w:val="Normal"/>
    <w:link w:val="Ttulo4Car"/>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aliases w:val="Questions"/>
    <w:basedOn w:val="Normal"/>
    <w:next w:val="Normal"/>
    <w:link w:val="Ttulo5Car"/>
    <w:uiPriority w:val="9"/>
    <w:qFormat/>
    <w:locked/>
    <w:rsid w:val="00E9344E"/>
    <w:pPr>
      <w:keepNext/>
      <w:keepLines/>
      <w:numPr>
        <w:numId w:val="13"/>
      </w:numPr>
      <w:spacing w:before="200"/>
      <w:jc w:val="both"/>
      <w:outlineLvl w:val="4"/>
    </w:pPr>
    <w:rPr>
      <w:b/>
    </w:rPr>
  </w:style>
  <w:style w:type="paragraph" w:styleId="Ttulo6">
    <w:name w:val="heading 6"/>
    <w:basedOn w:val="Normal"/>
    <w:next w:val="Normal"/>
    <w:link w:val="Ttulo6Car"/>
    <w:qFormat/>
    <w:locked/>
    <w:rsid w:val="003609B6"/>
    <w:pPr>
      <w:numPr>
        <w:ilvl w:val="5"/>
        <w:numId w:val="4"/>
      </w:numPr>
      <w:spacing w:before="240" w:after="60"/>
      <w:outlineLvl w:val="5"/>
    </w:pPr>
    <w:rPr>
      <w:rFonts w:ascii="Times New Roman" w:hAnsi="Times New Roman"/>
      <w:b/>
      <w:bCs/>
      <w:szCs w:val="22"/>
    </w:rPr>
  </w:style>
  <w:style w:type="paragraph" w:styleId="Ttulo7">
    <w:name w:val="heading 7"/>
    <w:basedOn w:val="Normal"/>
    <w:next w:val="Normal"/>
    <w:link w:val="Ttulo7Car"/>
    <w:unhideWhenUsed/>
    <w:qFormat/>
    <w:locked/>
    <w:rsid w:val="002D6E1A"/>
    <w:pPr>
      <w:spacing w:before="240" w:after="60"/>
      <w:ind w:left="1296" w:hanging="1296"/>
      <w:outlineLvl w:val="6"/>
    </w:pPr>
    <w:rPr>
      <w:rFonts w:ascii="Times New Roman" w:hAnsi="Times New Roman"/>
    </w:rPr>
  </w:style>
  <w:style w:type="paragraph" w:styleId="Ttulo8">
    <w:name w:val="heading 8"/>
    <w:basedOn w:val="Normal"/>
    <w:next w:val="Normal"/>
    <w:link w:val="Ttulo8Car"/>
    <w:qFormat/>
    <w:locked/>
    <w:rsid w:val="003609B6"/>
    <w:pPr>
      <w:numPr>
        <w:ilvl w:val="7"/>
        <w:numId w:val="4"/>
      </w:numPr>
      <w:spacing w:before="240" w:after="60"/>
      <w:outlineLvl w:val="7"/>
    </w:pPr>
    <w:rPr>
      <w:rFonts w:ascii="Times New Roman" w:hAnsi="Times New Roman"/>
      <w:i/>
      <w:iCs/>
    </w:rPr>
  </w:style>
  <w:style w:type="paragraph" w:styleId="Ttulo9">
    <w:name w:val="heading 9"/>
    <w:basedOn w:val="Normal"/>
    <w:next w:val="Normal"/>
    <w:link w:val="Ttulo9Car"/>
    <w:qFormat/>
    <w:locked/>
    <w:rsid w:val="00A06867"/>
    <w:pPr>
      <w:tabs>
        <w:tab w:val="num" w:pos="1584"/>
      </w:tabs>
      <w:spacing w:before="240" w:after="60"/>
      <w:ind w:left="1584" w:hanging="1584"/>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locked/>
    <w:rsid w:val="005B64CB"/>
    <w:pPr>
      <w:tabs>
        <w:tab w:val="center" w:pos="4536"/>
        <w:tab w:val="right" w:pos="9072"/>
      </w:tabs>
    </w:pPr>
  </w:style>
  <w:style w:type="paragraph" w:styleId="Piedepgina">
    <w:name w:val="footer"/>
    <w:basedOn w:val="Normal"/>
    <w:link w:val="PiedepginaCar"/>
    <w:uiPriority w:val="99"/>
    <w:locked/>
    <w:rsid w:val="005B64CB"/>
    <w:pPr>
      <w:tabs>
        <w:tab w:val="center" w:pos="4536"/>
        <w:tab w:val="right" w:pos="9072"/>
      </w:tabs>
    </w:pPr>
  </w:style>
  <w:style w:type="table" w:styleId="Tablaconcuadrcula">
    <w:name w:val="Table Grid"/>
    <w:basedOn w:val="Tabla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Nmerodepgina">
    <w:name w:val="page number"/>
    <w:basedOn w:val="Fuentedeprrafopredeter"/>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D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ipervnculo">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Textonotapie">
    <w:name w:val="footnote text"/>
    <w:aliases w:val="Char3, Char3,Fußnotentextf,Fußnotentextr,stile 1,Footnote1,Footnote2,Footnote3,Footnote4,Footnote5,Footnote6,Footnote7,Footnote8,Footnote9,Footnote10,Footnote11,Footnote21,Footnote31,Footnote41,Footnote51,Footnote61,Footnote71"/>
    <w:basedOn w:val="Normal"/>
    <w:link w:val="TextonotapieCar"/>
    <w:qFormat/>
    <w:locked/>
    <w:rsid w:val="001725A5"/>
    <w:pPr>
      <w:spacing w:line="200" w:lineRule="exact"/>
    </w:pPr>
    <w:rPr>
      <w:sz w:val="16"/>
      <w:szCs w:val="20"/>
    </w:rPr>
  </w:style>
  <w:style w:type="character" w:styleId="Refdenotaalpi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D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Refdecomentario">
    <w:name w:val="annotation reference"/>
    <w:locked/>
    <w:rsid w:val="004B1E61"/>
    <w:rPr>
      <w:sz w:val="16"/>
      <w:szCs w:val="16"/>
    </w:rPr>
  </w:style>
  <w:style w:type="paragraph" w:styleId="Textocomentario">
    <w:name w:val="annotation text"/>
    <w:basedOn w:val="Normal"/>
    <w:link w:val="TextocomentarioCar"/>
    <w:locked/>
    <w:rsid w:val="004B1E61"/>
    <w:rPr>
      <w:szCs w:val="20"/>
    </w:rPr>
  </w:style>
  <w:style w:type="character" w:customStyle="1" w:styleId="TextocomentarioCar">
    <w:name w:val="Texto comentario Car"/>
    <w:link w:val="Textocomentario"/>
    <w:uiPriority w:val="99"/>
    <w:rsid w:val="004B1E61"/>
    <w:rPr>
      <w:rFonts w:ascii="Georgia" w:hAnsi="Georgia"/>
      <w:lang w:eastAsia="de-DE"/>
    </w:rPr>
  </w:style>
  <w:style w:type="paragraph" w:styleId="Asuntodelcomentario">
    <w:name w:val="annotation subject"/>
    <w:basedOn w:val="Textocomentario"/>
    <w:next w:val="Textocomentario"/>
    <w:link w:val="AsuntodelcomentarioCar"/>
    <w:locked/>
    <w:rsid w:val="004B1E61"/>
    <w:rPr>
      <w:b/>
      <w:bCs/>
    </w:rPr>
  </w:style>
  <w:style w:type="character" w:customStyle="1" w:styleId="AsuntodelcomentarioCar">
    <w:name w:val="Asunto del comentario Car"/>
    <w:link w:val="Asuntodelcomentario"/>
    <w:rsid w:val="004B1E61"/>
    <w:rPr>
      <w:rFonts w:ascii="Georgia" w:hAnsi="Georgia"/>
      <w:b/>
      <w:bCs/>
      <w:lang w:eastAsia="de-DE"/>
    </w:rPr>
  </w:style>
  <w:style w:type="paragraph" w:styleId="Textodeglobo">
    <w:name w:val="Balloon Text"/>
    <w:basedOn w:val="Normal"/>
    <w:link w:val="TextodegloboCar"/>
    <w:locked/>
    <w:rsid w:val="004B1E61"/>
    <w:rPr>
      <w:rFonts w:ascii="Tahoma" w:hAnsi="Tahoma" w:cs="Tahoma"/>
      <w:sz w:val="16"/>
      <w:szCs w:val="16"/>
    </w:rPr>
  </w:style>
  <w:style w:type="character" w:customStyle="1" w:styleId="TextodegloboCar">
    <w:name w:val="Texto de globo Car"/>
    <w:link w:val="Textodeglobo"/>
    <w:rsid w:val="004B1E61"/>
    <w:rPr>
      <w:rFonts w:ascii="Tahoma" w:hAnsi="Tahoma" w:cs="Tahoma"/>
      <w:sz w:val="16"/>
      <w:szCs w:val="16"/>
      <w:lang w:eastAsia="de-DE"/>
    </w:rPr>
  </w:style>
  <w:style w:type="paragraph" w:styleId="Prrafodelista">
    <w:name w:val="List Paragraph"/>
    <w:aliases w:val="Paragraphe EI,Paragraphe de liste1,EC,Paragraphe de liste"/>
    <w:basedOn w:val="Normal"/>
    <w:link w:val="PrrafodelistaCar"/>
    <w:uiPriority w:val="34"/>
    <w:qFormat/>
    <w:locked/>
    <w:rsid w:val="002A0C82"/>
    <w:pPr>
      <w:ind w:left="720"/>
      <w:contextualSpacing/>
    </w:pPr>
  </w:style>
  <w:style w:type="paragraph" w:styleId="TtuloTDC">
    <w:name w:val="TOC Heading"/>
    <w:basedOn w:val="Ttulo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xtonotapieCar">
    <w:name w:val="Texto nota pie Car"/>
    <w:aliases w:val="Char3 Car, Char3 Car,Fußnotentextf Car,Fußnotentextr Car,stile 1 Car,Footnote1 Car,Footnote2 Car,Footnote3 Car,Footnote4 Car,Footnote5 Car,Footnote6 Car,Footnote7 Car,Footnote8 Car,Footnote9 Car,Footnote10 Car,Footnote11 Car"/>
    <w:link w:val="Textonotapie"/>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Fuentedeprrafopredeter"/>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tulo1Car">
    <w:name w:val="Título 1 Car"/>
    <w:link w:val="Ttulo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nfasis">
    <w:name w:val="Emphasis"/>
    <w:uiPriority w:val="20"/>
    <w:qFormat/>
    <w:locked/>
    <w:rsid w:val="005F028E"/>
    <w:rPr>
      <w:i/>
      <w:iCs/>
    </w:rPr>
  </w:style>
  <w:style w:type="paragraph" w:styleId="Revisin">
    <w:name w:val="Revision"/>
    <w:link w:val="RevisinCar"/>
    <w:hidden/>
    <w:uiPriority w:val="99"/>
    <w:semiHidden/>
    <w:rsid w:val="008E6A37"/>
    <w:rPr>
      <w:rFonts w:ascii="Georgia" w:hAnsi="Georgia"/>
      <w:sz w:val="22"/>
      <w:szCs w:val="24"/>
      <w:lang w:eastAsia="de-DE"/>
    </w:rPr>
  </w:style>
  <w:style w:type="paragraph" w:styleId="TD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D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D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D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D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D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D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Descripci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Mapadeldocumento">
    <w:name w:val="Document Map"/>
    <w:basedOn w:val="Normal"/>
    <w:link w:val="MapadeldocumentoCar"/>
    <w:locked/>
    <w:rsid w:val="00AA016B"/>
    <w:rPr>
      <w:rFonts w:ascii="Tahoma" w:hAnsi="Tahoma" w:cs="Tahoma"/>
      <w:sz w:val="16"/>
      <w:szCs w:val="16"/>
    </w:rPr>
  </w:style>
  <w:style w:type="character" w:customStyle="1" w:styleId="MapadeldocumentoCar">
    <w:name w:val="Mapa del documento Car"/>
    <w:link w:val="Mapadeldocumento"/>
    <w:rsid w:val="00AA016B"/>
    <w:rPr>
      <w:rFonts w:ascii="Tahoma" w:hAnsi="Tahoma" w:cs="Tahoma"/>
      <w:sz w:val="16"/>
      <w:szCs w:val="16"/>
      <w:lang w:eastAsia="de-DE"/>
    </w:rPr>
  </w:style>
  <w:style w:type="paragraph" w:styleId="Textosinformato">
    <w:name w:val="Plain Text"/>
    <w:basedOn w:val="Normal"/>
    <w:link w:val="TextosinformatoCar"/>
    <w:unhideWhenUsed/>
    <w:locked/>
    <w:rsid w:val="00AA016B"/>
    <w:rPr>
      <w:rFonts w:ascii="Consolas" w:hAnsi="Consolas"/>
      <w:sz w:val="21"/>
      <w:szCs w:val="21"/>
      <w:lang w:val="de-DE"/>
    </w:rPr>
  </w:style>
  <w:style w:type="character" w:customStyle="1" w:styleId="TextosinformatoCar">
    <w:name w:val="Texto sin formato Car"/>
    <w:link w:val="Textosinformato"/>
    <w:rsid w:val="00AA016B"/>
    <w:rPr>
      <w:rFonts w:ascii="Consolas" w:hAnsi="Consolas"/>
      <w:sz w:val="21"/>
      <w:szCs w:val="21"/>
      <w:lang w:val="de-DE" w:eastAsia="de-DE"/>
    </w:rPr>
  </w:style>
  <w:style w:type="paragraph" w:styleId="Textoindependiente">
    <w:name w:val="Body Text"/>
    <w:basedOn w:val="Normal"/>
    <w:link w:val="TextoindependienteCar"/>
    <w:unhideWhenUsed/>
    <w:locked/>
    <w:rsid w:val="00AA016B"/>
    <w:pPr>
      <w:numPr>
        <w:numId w:val="8"/>
      </w:numPr>
      <w:spacing w:after="240"/>
      <w:jc w:val="both"/>
    </w:pPr>
    <w:rPr>
      <w:rFonts w:ascii="Times New Roman" w:hAnsi="Times New Roman"/>
      <w:sz w:val="24"/>
      <w:szCs w:val="20"/>
      <w:lang w:eastAsia="en-GB"/>
    </w:rPr>
  </w:style>
  <w:style w:type="character" w:customStyle="1" w:styleId="TextoindependienteCar">
    <w:name w:val="Texto independiente Car"/>
    <w:link w:val="Textoindependiente"/>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Textoennegrita">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Ttulo2Car">
    <w:name w:val="Título 2 Car"/>
    <w:link w:val="Ttulo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Ttulo9Car">
    <w:name w:val="Título 9 Car"/>
    <w:link w:val="Ttulo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Ttulo7Car">
    <w:name w:val="Título 7 Car"/>
    <w:link w:val="Ttulo7"/>
    <w:rsid w:val="002D6E1A"/>
    <w:rPr>
      <w:sz w:val="22"/>
      <w:szCs w:val="24"/>
      <w:lang w:eastAsia="de-DE"/>
    </w:rPr>
  </w:style>
  <w:style w:type="character" w:customStyle="1" w:styleId="Ttulo6Car">
    <w:name w:val="Título 6 Car"/>
    <w:link w:val="Ttulo6"/>
    <w:rsid w:val="002D6E1A"/>
    <w:rPr>
      <w:b/>
      <w:bCs/>
      <w:szCs w:val="22"/>
      <w:lang w:eastAsia="de-DE"/>
    </w:rPr>
  </w:style>
  <w:style w:type="character" w:customStyle="1" w:styleId="Ttulo8Car">
    <w:name w:val="Título 8 Car"/>
    <w:link w:val="Ttulo8"/>
    <w:rsid w:val="002D6E1A"/>
    <w:rPr>
      <w:i/>
      <w:iCs/>
      <w:szCs w:val="24"/>
      <w:lang w:eastAsia="de-DE"/>
    </w:rPr>
  </w:style>
  <w:style w:type="numbering" w:customStyle="1" w:styleId="NoList1">
    <w:name w:val="No List1"/>
    <w:next w:val="Sinlista"/>
    <w:uiPriority w:val="99"/>
    <w:semiHidden/>
    <w:unhideWhenUsed/>
    <w:locked/>
    <w:rsid w:val="002D6E1A"/>
  </w:style>
  <w:style w:type="character" w:styleId="Hipervnculovisitado">
    <w:name w:val="FollowedHyperlink"/>
    <w:unhideWhenUsed/>
    <w:locked/>
    <w:rsid w:val="002D6E1A"/>
    <w:rPr>
      <w:color w:val="800080"/>
      <w:u w:val="single"/>
    </w:rPr>
  </w:style>
  <w:style w:type="character" w:customStyle="1" w:styleId="EncabezadoCar">
    <w:name w:val="Encabezado Car"/>
    <w:link w:val="Encabezado"/>
    <w:rsid w:val="002D6E1A"/>
    <w:rPr>
      <w:rFonts w:ascii="Georgia" w:hAnsi="Georgia"/>
      <w:sz w:val="22"/>
      <w:szCs w:val="24"/>
      <w:lang w:eastAsia="de-DE"/>
    </w:rPr>
  </w:style>
  <w:style w:type="character" w:customStyle="1" w:styleId="PiedepginaCar">
    <w:name w:val="Pie de página Car"/>
    <w:link w:val="Piedepgina"/>
    <w:uiPriority w:val="99"/>
    <w:rsid w:val="002D6E1A"/>
    <w:rPr>
      <w:rFonts w:ascii="Georgia" w:hAnsi="Georgia"/>
      <w:sz w:val="22"/>
      <w:szCs w:val="24"/>
      <w:lang w:eastAsia="de-DE"/>
    </w:rPr>
  </w:style>
  <w:style w:type="paragraph" w:styleId="Textonotaalfinal">
    <w:name w:val="endnote text"/>
    <w:basedOn w:val="Normal"/>
    <w:link w:val="TextonotaalfinalCar"/>
    <w:unhideWhenUsed/>
    <w:locked/>
    <w:rsid w:val="002D6E1A"/>
    <w:rPr>
      <w:szCs w:val="20"/>
    </w:rPr>
  </w:style>
  <w:style w:type="character" w:customStyle="1" w:styleId="TextonotaalfinalCar">
    <w:name w:val="Texto nota al final Car"/>
    <w:link w:val="Textonotaalfinal"/>
    <w:rsid w:val="002D6E1A"/>
    <w:rPr>
      <w:rFonts w:ascii="Georgia" w:hAnsi="Georgia"/>
      <w:lang w:eastAsia="de-DE"/>
    </w:rPr>
  </w:style>
  <w:style w:type="paragraph" w:styleId="Listaconnmeros">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PrrafodelistaCar">
    <w:name w:val="Párrafo de lista Car"/>
    <w:aliases w:val="Paragraphe EI Car,Paragraphe de liste1 Car,EC Car,Paragraphe de liste Car"/>
    <w:link w:val="Prrafodelista"/>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rrafodelista"/>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Refdenotaalfinal">
    <w:name w:val="endnote reference"/>
    <w:unhideWhenUsed/>
    <w:locked/>
    <w:rsid w:val="002D6E1A"/>
    <w:rPr>
      <w:vertAlign w:val="superscript"/>
    </w:rPr>
  </w:style>
  <w:style w:type="character" w:styleId="Textodelmarcadordeposicin">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a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Sinlista"/>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Nmerodelnea">
    <w:name w:val="line number"/>
    <w:basedOn w:val="Fuentedeprrafopredeter"/>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Descripci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Ttulo5Car">
    <w:name w:val="Título 5 Car"/>
    <w:aliases w:val="Questions Car"/>
    <w:link w:val="Ttulo5"/>
    <w:uiPriority w:val="9"/>
    <w:rsid w:val="00E9344E"/>
    <w:rPr>
      <w:rFonts w:ascii="Arial" w:hAnsi="Arial"/>
      <w:b/>
      <w:szCs w:val="24"/>
      <w:lang w:eastAsia="de-DE"/>
    </w:rPr>
  </w:style>
  <w:style w:type="character" w:customStyle="1" w:styleId="Ttulo3Car">
    <w:name w:val="Título 3 Car"/>
    <w:link w:val="Ttulo3"/>
    <w:rsid w:val="003865E5"/>
    <w:rPr>
      <w:rFonts w:ascii="Cambria" w:eastAsia="Times New Roman" w:hAnsi="Cambria" w:cs="Times New Roman"/>
      <w:b/>
      <w:bCs/>
      <w:color w:val="4F81BD"/>
      <w:sz w:val="22"/>
      <w:szCs w:val="24"/>
      <w:lang w:eastAsia="de-DE"/>
    </w:rPr>
  </w:style>
  <w:style w:type="character" w:customStyle="1" w:styleId="Ttulo4Car">
    <w:name w:val="Título 4 Car"/>
    <w:link w:val="Ttulo4"/>
    <w:rsid w:val="00CB7286"/>
    <w:rPr>
      <w:b/>
      <w:bCs/>
      <w:sz w:val="28"/>
      <w:szCs w:val="28"/>
      <w:lang w:eastAsia="de-DE"/>
    </w:rPr>
  </w:style>
  <w:style w:type="table" w:styleId="Listaclara-nfasis3">
    <w:name w:val="Light List Accent 3"/>
    <w:basedOn w:val="Tabla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a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Ttulo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Ttulo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tulo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aconnmeros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aconnmeros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aconnmeros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aconvietas">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aconvietas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aconvietas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aconvietas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adeilustracion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tulo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tulo">
    <w:name w:val="Title"/>
    <w:basedOn w:val="Normal"/>
    <w:next w:val="Normal"/>
    <w:link w:val="TtuloC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tuloCar">
    <w:name w:val="Título Car"/>
    <w:link w:val="Ttulo"/>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nCar">
    <w:name w:val="Revisión Car"/>
    <w:link w:val="Revisin"/>
    <w:uiPriority w:val="99"/>
    <w:semiHidden/>
    <w:locked/>
    <w:rsid w:val="000D2D0B"/>
    <w:rPr>
      <w:rFonts w:ascii="Georgia" w:hAnsi="Georgia"/>
      <w:sz w:val="22"/>
      <w:szCs w:val="24"/>
      <w:lang w:eastAsia="de-DE"/>
    </w:rPr>
  </w:style>
  <w:style w:type="table" w:customStyle="1" w:styleId="TableGrid2">
    <w:name w:val="Table Grid2"/>
    <w:basedOn w:val="Tablanormal"/>
    <w:next w:val="Tablaconcuadrcula"/>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Fuentedeprrafopredeter"/>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nfasisintenso">
    <w:name w:val="Intense Emphasis"/>
    <w:basedOn w:val="Fuentedeprrafopredeter"/>
    <w:uiPriority w:val="21"/>
    <w:qFormat/>
    <w:locked/>
    <w:rsid w:val="00D34282"/>
    <w:rPr>
      <w:b/>
      <w:bCs/>
      <w:i/>
      <w:iCs/>
    </w:rPr>
  </w:style>
  <w:style w:type="character" w:customStyle="1" w:styleId="CPTitle1Char">
    <w:name w:val="CP_Title1 Char"/>
    <w:basedOn w:val="Fuentedeprrafopredeter"/>
    <w:link w:val="CPTitle1"/>
    <w:locked/>
    <w:rsid w:val="00D34282"/>
    <w:rPr>
      <w:rFonts w:asciiTheme="majorHAnsi" w:eastAsiaTheme="majorEastAsia" w:hAnsiTheme="majorHAnsi" w:cstheme="majorHAnsi"/>
      <w:b/>
      <w:sz w:val="32"/>
      <w:szCs w:val="32"/>
    </w:rPr>
  </w:style>
  <w:style w:type="paragraph" w:customStyle="1" w:styleId="CPTitle1">
    <w:name w:val="CP_Title1"/>
    <w:basedOn w:val="Ttulo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tulo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Fuentedeprrafopredeter"/>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35c8e399-07b8-49e4-91bf-01a20105d4df"/>
  </ds:schemaRefs>
</ds:datastoreItem>
</file>

<file path=customXml/itemProps2.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3.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4.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6.xml><?xml version="1.0" encoding="utf-8"?>
<ds:datastoreItem xmlns:ds="http://schemas.openxmlformats.org/officeDocument/2006/customXml" ds:itemID="{7FB30FA8-3D72-457A-9AB5-7BB1703E6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3139</Words>
  <Characters>17267</Characters>
  <Application>Microsoft Office Word</Application>
  <DocSecurity>8</DocSecurity>
  <Lines>143</Lines>
  <Paragraphs>40</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20366</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Andrea González González</cp:lastModifiedBy>
  <cp:revision>3</cp:revision>
  <cp:lastPrinted>2015-02-18T11:01:00Z</cp:lastPrinted>
  <dcterms:created xsi:type="dcterms:W3CDTF">2023-02-16T17:44:00Z</dcterms:created>
  <dcterms:modified xsi:type="dcterms:W3CDTF">2023-02-16T17:55:00Z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