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EC" w:rsidRDefault="00BE1912">
      <w:pPr>
        <w:pStyle w:val="KDDNaslov"/>
        <w:framePr w:wrap="notBeside"/>
        <w:rPr>
          <w:b/>
        </w:rPr>
      </w:pPr>
      <w:r w:rsidRPr="00BE1912">
        <w:rPr>
          <w:b/>
        </w:rPr>
        <w:t>ESMA</w:t>
      </w:r>
    </w:p>
    <w:p w:rsidR="00247AF6" w:rsidRPr="00247AF6" w:rsidRDefault="00247AF6" w:rsidP="00247AF6">
      <w:pPr>
        <w:pStyle w:val="KDDNaslov"/>
        <w:framePr w:wrap="notBeside"/>
        <w:rPr>
          <w:b/>
        </w:rPr>
      </w:pPr>
      <w:r w:rsidRPr="00247AF6">
        <w:rPr>
          <w:b/>
        </w:rPr>
        <w:t>CS 60747</w:t>
      </w:r>
    </w:p>
    <w:p w:rsidR="00247AF6" w:rsidRPr="00247AF6" w:rsidRDefault="00247AF6" w:rsidP="00247AF6">
      <w:pPr>
        <w:pStyle w:val="KDDNaslov"/>
        <w:framePr w:wrap="notBeside"/>
        <w:rPr>
          <w:b/>
        </w:rPr>
      </w:pPr>
      <w:r w:rsidRPr="00247AF6">
        <w:rPr>
          <w:b/>
        </w:rPr>
        <w:t xml:space="preserve">103 </w:t>
      </w:r>
      <w:proofErr w:type="spellStart"/>
      <w:r w:rsidRPr="00247AF6">
        <w:rPr>
          <w:b/>
        </w:rPr>
        <w:t>rue</w:t>
      </w:r>
      <w:proofErr w:type="spellEnd"/>
      <w:r w:rsidRPr="00247AF6">
        <w:rPr>
          <w:b/>
        </w:rPr>
        <w:t xml:space="preserve"> de </w:t>
      </w:r>
      <w:proofErr w:type="spellStart"/>
      <w:r w:rsidRPr="00247AF6">
        <w:rPr>
          <w:b/>
        </w:rPr>
        <w:t>Grenelle</w:t>
      </w:r>
      <w:proofErr w:type="spellEnd"/>
    </w:p>
    <w:p w:rsidR="00247AF6" w:rsidRPr="00247AF6" w:rsidRDefault="00247AF6" w:rsidP="00247AF6">
      <w:pPr>
        <w:pStyle w:val="KDDNaslov"/>
        <w:framePr w:wrap="notBeside"/>
        <w:rPr>
          <w:b/>
        </w:rPr>
      </w:pPr>
    </w:p>
    <w:p w:rsidR="00247AF6" w:rsidRDefault="00247AF6" w:rsidP="00247AF6">
      <w:pPr>
        <w:pStyle w:val="KDDNaslov"/>
        <w:framePr w:wrap="notBeside"/>
        <w:rPr>
          <w:b/>
        </w:rPr>
      </w:pPr>
      <w:r w:rsidRPr="00247AF6">
        <w:rPr>
          <w:b/>
        </w:rPr>
        <w:t xml:space="preserve">75345 Paris </w:t>
      </w:r>
      <w:proofErr w:type="spellStart"/>
      <w:r w:rsidRPr="00247AF6">
        <w:rPr>
          <w:b/>
        </w:rPr>
        <w:t>Cedex</w:t>
      </w:r>
      <w:proofErr w:type="spellEnd"/>
      <w:r w:rsidRPr="00247AF6">
        <w:rPr>
          <w:b/>
        </w:rPr>
        <w:t xml:space="preserve"> 07</w:t>
      </w:r>
    </w:p>
    <w:p w:rsidR="00247AF6" w:rsidRPr="00BE1912" w:rsidRDefault="00247AF6" w:rsidP="00247AF6">
      <w:pPr>
        <w:pStyle w:val="KDDNaslov"/>
        <w:framePr w:wrap="notBeside"/>
        <w:rPr>
          <w:b/>
        </w:rPr>
      </w:pPr>
      <w:r>
        <w:rPr>
          <w:b/>
        </w:rPr>
        <w:t>FRANCE</w:t>
      </w:r>
    </w:p>
    <w:p w:rsidR="007718EC" w:rsidRDefault="007718EC" w:rsidP="00BE1912">
      <w:pPr>
        <w:framePr w:w="2396" w:h="284" w:hRule="exact" w:hSpace="181" w:wrap="around" w:vAnchor="page" w:hAnchor="page" w:x="8222" w:y="4778"/>
        <w:shd w:val="solid" w:color="FFFFFF" w:fill="FFFFFF"/>
        <w:ind w:left="-426"/>
        <w:jc w:val="right"/>
      </w:pPr>
      <w:r>
        <w:t xml:space="preserve">Ljubljana, </w:t>
      </w:r>
      <w:r>
        <w:fldChar w:fldCharType="begin"/>
      </w:r>
      <w:r>
        <w:instrText xml:space="preserve"> DATE   \* MERGEFORMAT </w:instrText>
      </w:r>
      <w:r>
        <w:fldChar w:fldCharType="separate"/>
      </w:r>
      <w:r w:rsidR="00734408">
        <w:rPr>
          <w:noProof/>
        </w:rPr>
        <w:t>22.5.2014</w:t>
      </w:r>
      <w:r>
        <w:fldChar w:fldCharType="end"/>
      </w:r>
    </w:p>
    <w:p w:rsidR="007718EC" w:rsidRPr="002A3C91" w:rsidRDefault="00BE1912" w:rsidP="00BE1912">
      <w:pPr>
        <w:pStyle w:val="KDDZadeva"/>
        <w:ind w:left="1418" w:hanging="1418"/>
        <w:jc w:val="left"/>
        <w:rPr>
          <w:lang w:val="en-US"/>
        </w:rPr>
      </w:pPr>
      <w:r w:rsidRPr="002A3C91">
        <w:rPr>
          <w:b/>
          <w:lang w:val="en-US"/>
        </w:rPr>
        <w:t>Subject</w:t>
      </w:r>
      <w:r w:rsidRPr="002A3C91">
        <w:rPr>
          <w:lang w:val="en-US"/>
        </w:rPr>
        <w:t>:</w:t>
      </w:r>
      <w:r w:rsidRPr="002A3C91">
        <w:rPr>
          <w:lang w:val="en-US"/>
        </w:rPr>
        <w:tab/>
      </w:r>
      <w:r w:rsidRPr="002A3C91">
        <w:rPr>
          <w:b/>
          <w:lang w:val="en-US"/>
        </w:rPr>
        <w:t>Response to ESMA Discussion Paper on CSDR Technical Standards</w:t>
      </w:r>
      <w:r w:rsidRPr="002A3C91">
        <w:rPr>
          <w:lang w:val="en-US"/>
        </w:rPr>
        <w:t xml:space="preserve"> </w:t>
      </w:r>
    </w:p>
    <w:p w:rsidR="007718EC" w:rsidRPr="002A3C91" w:rsidRDefault="00BE1912">
      <w:pPr>
        <w:pStyle w:val="KDDNaslov"/>
        <w:framePr w:w="0" w:hRule="auto" w:wrap="auto" w:vAnchor="margin" w:hAnchor="text" w:xAlign="left" w:yAlign="inline"/>
        <w:rPr>
          <w:lang w:val="en-US"/>
        </w:rPr>
      </w:pPr>
      <w:r w:rsidRPr="002A3C91">
        <w:rPr>
          <w:lang w:val="en-US"/>
        </w:rPr>
        <w:t>Dear Sir/Madam,</w:t>
      </w:r>
    </w:p>
    <w:p w:rsidR="00BE1912" w:rsidRPr="002A3C91" w:rsidRDefault="00BE1912">
      <w:pPr>
        <w:pStyle w:val="KDDNaslov"/>
        <w:framePr w:w="0" w:hRule="auto" w:wrap="auto" w:vAnchor="margin" w:hAnchor="text" w:xAlign="left" w:yAlign="inline"/>
        <w:rPr>
          <w:lang w:val="en-US"/>
        </w:rPr>
      </w:pPr>
    </w:p>
    <w:p w:rsidR="00BE1912" w:rsidRPr="002A3C91" w:rsidRDefault="00BE1912">
      <w:pPr>
        <w:pStyle w:val="KDDNaslov"/>
        <w:framePr w:w="0" w:hRule="auto" w:wrap="auto" w:vAnchor="margin" w:hAnchor="text" w:xAlign="left" w:yAlign="inline"/>
        <w:rPr>
          <w:lang w:val="en-US"/>
        </w:rPr>
      </w:pPr>
      <w:r w:rsidRPr="002A3C91">
        <w:rPr>
          <w:lang w:val="en-US"/>
        </w:rPr>
        <w:t>Hereby we wish to endorse the common ECSDA response to ESMA Discussion Paper on CSDR Technical Standards</w:t>
      </w:r>
      <w:r w:rsidR="00247AF6" w:rsidRPr="002A3C91">
        <w:rPr>
          <w:lang w:val="en-US"/>
        </w:rPr>
        <w:t xml:space="preserve"> in its entirety</w:t>
      </w:r>
      <w:r w:rsidRPr="002A3C91">
        <w:rPr>
          <w:lang w:val="en-US"/>
        </w:rPr>
        <w:t xml:space="preserve">. The common ECSDA response was prepared on behalf of </w:t>
      </w:r>
      <w:r w:rsidR="00247AF6" w:rsidRPr="002A3C91">
        <w:rPr>
          <w:lang w:val="en-US"/>
        </w:rPr>
        <w:t>member CSDs.</w:t>
      </w:r>
    </w:p>
    <w:p w:rsidR="00247AF6" w:rsidRPr="002A3C91" w:rsidRDefault="00247AF6">
      <w:pPr>
        <w:pStyle w:val="KDDNaslov"/>
        <w:framePr w:w="0" w:hRule="auto" w:wrap="auto" w:vAnchor="margin" w:hAnchor="text" w:xAlign="left" w:yAlign="inline"/>
        <w:rPr>
          <w:lang w:val="en-US"/>
        </w:rPr>
      </w:pPr>
    </w:p>
    <w:p w:rsidR="004C1DBE" w:rsidRPr="002A3C91" w:rsidRDefault="00247AF6">
      <w:pPr>
        <w:pStyle w:val="KDDNaslov"/>
        <w:framePr w:w="0" w:hRule="auto" w:wrap="auto" w:vAnchor="margin" w:hAnchor="text" w:xAlign="left" w:yAlign="inline"/>
        <w:rPr>
          <w:lang w:val="en-US"/>
        </w:rPr>
      </w:pPr>
      <w:r w:rsidRPr="002A3C91">
        <w:rPr>
          <w:lang w:val="en-US"/>
        </w:rPr>
        <w:t xml:space="preserve">In particular, with regard to </w:t>
      </w:r>
      <w:r w:rsidR="004C1DBE" w:rsidRPr="002A3C91">
        <w:rPr>
          <w:lang w:val="en-US"/>
        </w:rPr>
        <w:t>Article 48 (</w:t>
      </w:r>
      <w:r w:rsidRPr="002A3C91">
        <w:rPr>
          <w:lang w:val="en-US"/>
        </w:rPr>
        <w:t>Q</w:t>
      </w:r>
      <w:r w:rsidR="004C1DBE" w:rsidRPr="002A3C91">
        <w:rPr>
          <w:lang w:val="en-US"/>
        </w:rPr>
        <w:t>Q41-</w:t>
      </w:r>
      <w:r w:rsidRPr="002A3C91">
        <w:rPr>
          <w:lang w:val="en-US"/>
        </w:rPr>
        <w:t>42 of the Part 1 of consultation</w:t>
      </w:r>
      <w:r w:rsidR="004C1DBE" w:rsidRPr="002A3C91">
        <w:rPr>
          <w:lang w:val="en-US"/>
        </w:rPr>
        <w:t>)</w:t>
      </w:r>
      <w:r w:rsidRPr="002A3C91">
        <w:rPr>
          <w:lang w:val="en-US"/>
        </w:rPr>
        <w:t xml:space="preserve">, we would like to stress the inappropriateness of </w:t>
      </w:r>
      <w:r w:rsidR="004C1DBE" w:rsidRPr="002A3C91">
        <w:rPr>
          <w:lang w:val="en-US"/>
        </w:rPr>
        <w:t xml:space="preserve">fixed </w:t>
      </w:r>
      <w:r w:rsidRPr="002A3C91">
        <w:rPr>
          <w:lang w:val="en-US"/>
        </w:rPr>
        <w:t>detailed definitions of legal standards (such as »highly liquid«</w:t>
      </w:r>
      <w:r w:rsidR="004C1DBE" w:rsidRPr="002A3C91">
        <w:rPr>
          <w:lang w:val="en-US"/>
        </w:rPr>
        <w:t>, »prompt access«</w:t>
      </w:r>
      <w:r w:rsidR="00333EA7" w:rsidRPr="002A3C91">
        <w:rPr>
          <w:lang w:val="en-US"/>
        </w:rPr>
        <w:t>, »concentration limits«</w:t>
      </w:r>
      <w:r w:rsidRPr="002A3C91">
        <w:rPr>
          <w:lang w:val="en-US"/>
        </w:rPr>
        <w:t xml:space="preserve">). </w:t>
      </w:r>
      <w:r w:rsidR="004C1DBE" w:rsidRPr="002A3C91">
        <w:rPr>
          <w:lang w:val="en-US"/>
        </w:rPr>
        <w:t>Definitions should be sufficiently open as to enable their adequate appliance in ma</w:t>
      </w:r>
      <w:r w:rsidR="002A3C91" w:rsidRPr="002A3C91">
        <w:rPr>
          <w:lang w:val="en-US"/>
        </w:rPr>
        <w:t>ny instances of very diverse circumstances</w:t>
      </w:r>
      <w:r w:rsidR="004C1DBE" w:rsidRPr="002A3C91">
        <w:rPr>
          <w:lang w:val="en-US"/>
        </w:rPr>
        <w:t xml:space="preserve">. Liquidity and access </w:t>
      </w:r>
      <w:r w:rsidR="002A3C91" w:rsidRPr="002A3C91">
        <w:rPr>
          <w:lang w:val="en-US"/>
        </w:rPr>
        <w:t>should</w:t>
      </w:r>
      <w:r w:rsidR="004C1DBE" w:rsidRPr="002A3C91">
        <w:rPr>
          <w:lang w:val="en-US"/>
        </w:rPr>
        <w:t xml:space="preserve"> be in </w:t>
      </w:r>
      <w:r w:rsidR="0058520B" w:rsidRPr="002A3C91">
        <w:rPr>
          <w:lang w:val="en-US"/>
        </w:rPr>
        <w:t>any</w:t>
      </w:r>
      <w:r w:rsidR="004C1DBE" w:rsidRPr="002A3C91">
        <w:rPr>
          <w:lang w:val="en-US"/>
        </w:rPr>
        <w:t xml:space="preserve"> case assessed in relation with actual </w:t>
      </w:r>
      <w:r w:rsidR="0058520B" w:rsidRPr="002A3C91">
        <w:rPr>
          <w:lang w:val="en-US"/>
        </w:rPr>
        <w:t xml:space="preserve">capital and </w:t>
      </w:r>
      <w:r w:rsidR="004C1DBE" w:rsidRPr="002A3C91">
        <w:rPr>
          <w:lang w:val="en-US"/>
        </w:rPr>
        <w:t xml:space="preserve">liquidity needs of each </w:t>
      </w:r>
      <w:r w:rsidR="0058520B" w:rsidRPr="002A3C91">
        <w:rPr>
          <w:lang w:val="en-US"/>
        </w:rPr>
        <w:t xml:space="preserve">particular </w:t>
      </w:r>
      <w:r w:rsidR="004C1DBE" w:rsidRPr="002A3C91">
        <w:rPr>
          <w:lang w:val="en-US"/>
        </w:rPr>
        <w:t xml:space="preserve">CSD. Where </w:t>
      </w:r>
      <w:r w:rsidR="00D83C59" w:rsidRPr="002A3C91">
        <w:rPr>
          <w:lang w:val="en-US"/>
        </w:rPr>
        <w:t xml:space="preserve">capital and </w:t>
      </w:r>
      <w:r w:rsidR="004C1DBE" w:rsidRPr="002A3C91">
        <w:rPr>
          <w:lang w:val="en-US"/>
        </w:rPr>
        <w:t xml:space="preserve">liquidity </w:t>
      </w:r>
      <w:r w:rsidR="00D83C59" w:rsidRPr="002A3C91">
        <w:rPr>
          <w:lang w:val="en-US"/>
        </w:rPr>
        <w:t>requirements</w:t>
      </w:r>
      <w:r w:rsidR="004C1DBE" w:rsidRPr="002A3C91">
        <w:rPr>
          <w:lang w:val="en-US"/>
        </w:rPr>
        <w:t xml:space="preserve"> of particular CSD are lower, »high liquidity« and </w:t>
      </w:r>
      <w:r w:rsidR="00333EA7" w:rsidRPr="002A3C91">
        <w:rPr>
          <w:lang w:val="en-US"/>
        </w:rPr>
        <w:t xml:space="preserve">»prompt access« </w:t>
      </w:r>
      <w:r w:rsidR="0058520B" w:rsidRPr="002A3C91">
        <w:rPr>
          <w:lang w:val="en-US"/>
        </w:rPr>
        <w:t xml:space="preserve">standards </w:t>
      </w:r>
      <w:r w:rsidR="00333EA7" w:rsidRPr="002A3C91">
        <w:rPr>
          <w:lang w:val="en-US"/>
        </w:rPr>
        <w:t xml:space="preserve">should not have the same span as in case of a CSD with higher </w:t>
      </w:r>
      <w:r w:rsidR="00D83C59" w:rsidRPr="002A3C91">
        <w:rPr>
          <w:lang w:val="en-US"/>
        </w:rPr>
        <w:t xml:space="preserve">capital and </w:t>
      </w:r>
      <w:r w:rsidR="00333EA7" w:rsidRPr="002A3C91">
        <w:rPr>
          <w:lang w:val="en-US"/>
        </w:rPr>
        <w:t xml:space="preserve">liquidity </w:t>
      </w:r>
      <w:r w:rsidR="00D83C59" w:rsidRPr="002A3C91">
        <w:rPr>
          <w:lang w:val="en-US"/>
        </w:rPr>
        <w:t>requirements</w:t>
      </w:r>
      <w:r w:rsidR="00333EA7" w:rsidRPr="002A3C91">
        <w:rPr>
          <w:lang w:val="en-US"/>
        </w:rPr>
        <w:t xml:space="preserve">. </w:t>
      </w:r>
    </w:p>
    <w:p w:rsidR="00333EA7" w:rsidRPr="002A3C91" w:rsidRDefault="00333EA7">
      <w:pPr>
        <w:pStyle w:val="KDDNaslov"/>
        <w:framePr w:w="0" w:hRule="auto" w:wrap="auto" w:vAnchor="margin" w:hAnchor="text" w:xAlign="left" w:yAlign="inline"/>
        <w:rPr>
          <w:lang w:val="en-US"/>
        </w:rPr>
      </w:pPr>
    </w:p>
    <w:p w:rsidR="0058520B" w:rsidRPr="002A3C91" w:rsidRDefault="00333EA7">
      <w:pPr>
        <w:pStyle w:val="KDDNaslov"/>
        <w:framePr w:w="0" w:hRule="auto" w:wrap="auto" w:vAnchor="margin" w:hAnchor="text" w:xAlign="left" w:yAlign="inline"/>
        <w:rPr>
          <w:lang w:val="en-US"/>
        </w:rPr>
      </w:pPr>
      <w:r w:rsidRPr="002A3C91">
        <w:rPr>
          <w:lang w:val="en-US"/>
        </w:rPr>
        <w:t>Therefore, we di</w:t>
      </w:r>
      <w:r w:rsidR="00D83C59" w:rsidRPr="002A3C91">
        <w:rPr>
          <w:lang w:val="en-US"/>
        </w:rPr>
        <w:t>s</w:t>
      </w:r>
      <w:r w:rsidRPr="002A3C91">
        <w:rPr>
          <w:lang w:val="en-US"/>
        </w:rPr>
        <w:t xml:space="preserve">agree with </w:t>
      </w:r>
      <w:r w:rsidR="00D83C59" w:rsidRPr="002A3C91">
        <w:rPr>
          <w:lang w:val="en-US"/>
        </w:rPr>
        <w:t xml:space="preserve">the approach that tries to </w:t>
      </w:r>
      <w:r w:rsidR="00D83C59" w:rsidRPr="002A3C91">
        <w:rPr>
          <w:lang w:val="en-US"/>
        </w:rPr>
        <w:t>exhaustively</w:t>
      </w:r>
      <w:r w:rsidR="00D83C59" w:rsidRPr="002A3C91">
        <w:rPr>
          <w:lang w:val="en-US"/>
        </w:rPr>
        <w:t xml:space="preserve"> </w:t>
      </w:r>
      <w:r w:rsidR="00D83C59" w:rsidRPr="002A3C91">
        <w:rPr>
          <w:lang w:val="en-US"/>
        </w:rPr>
        <w:t>enumerate</w:t>
      </w:r>
      <w:r w:rsidR="00D83C59" w:rsidRPr="002A3C91">
        <w:rPr>
          <w:lang w:val="en-US"/>
        </w:rPr>
        <w:t xml:space="preserve"> highly liquid and </w:t>
      </w:r>
      <w:r w:rsidR="002A3C91" w:rsidRPr="002A3C91">
        <w:rPr>
          <w:lang w:val="en-US"/>
        </w:rPr>
        <w:t>promptly</w:t>
      </w:r>
      <w:r w:rsidR="00D83C59" w:rsidRPr="002A3C91">
        <w:rPr>
          <w:lang w:val="en-US"/>
        </w:rPr>
        <w:t xml:space="preserve"> </w:t>
      </w:r>
      <w:r w:rsidR="002A3C91" w:rsidRPr="002A3C91">
        <w:rPr>
          <w:lang w:val="en-US"/>
        </w:rPr>
        <w:t>accessible</w:t>
      </w:r>
      <w:r w:rsidR="00D83C59" w:rsidRPr="002A3C91">
        <w:rPr>
          <w:lang w:val="en-US"/>
        </w:rPr>
        <w:t xml:space="preserve"> financial instruments without the observance of capital and liquidity requirements of particular CSD</w:t>
      </w:r>
      <w:r w:rsidR="0058520B" w:rsidRPr="002A3C91">
        <w:rPr>
          <w:lang w:val="en-US"/>
        </w:rPr>
        <w:t xml:space="preserve"> and without the observance of particular market's conditions</w:t>
      </w:r>
      <w:r w:rsidR="00D83C59" w:rsidRPr="002A3C91">
        <w:rPr>
          <w:lang w:val="en-US"/>
        </w:rPr>
        <w:t xml:space="preserve">. </w:t>
      </w:r>
    </w:p>
    <w:p w:rsidR="0058520B" w:rsidRPr="002A3C91" w:rsidRDefault="0058520B">
      <w:pPr>
        <w:pStyle w:val="KDDNaslov"/>
        <w:framePr w:w="0" w:hRule="auto" w:wrap="auto" w:vAnchor="margin" w:hAnchor="text" w:xAlign="left" w:yAlign="inline"/>
        <w:rPr>
          <w:lang w:val="en-US"/>
        </w:rPr>
      </w:pPr>
    </w:p>
    <w:p w:rsidR="00247AF6" w:rsidRPr="002A3C91" w:rsidRDefault="0058520B">
      <w:pPr>
        <w:pStyle w:val="KDDNaslov"/>
        <w:framePr w:w="0" w:hRule="auto" w:wrap="auto" w:vAnchor="margin" w:hAnchor="text" w:xAlign="left" w:yAlign="inline"/>
        <w:rPr>
          <w:lang w:val="en-US"/>
        </w:rPr>
      </w:pPr>
      <w:r w:rsidRPr="002A3C91">
        <w:rPr>
          <w:lang w:val="en-US"/>
        </w:rPr>
        <w:t>W</w:t>
      </w:r>
      <w:r w:rsidR="00D83C59" w:rsidRPr="002A3C91">
        <w:rPr>
          <w:lang w:val="en-US"/>
        </w:rPr>
        <w:t xml:space="preserve">e believe </w:t>
      </w:r>
      <w:r w:rsidRPr="002A3C91">
        <w:rPr>
          <w:lang w:val="en-US"/>
        </w:rPr>
        <w:t xml:space="preserve">the </w:t>
      </w:r>
      <w:r w:rsidRPr="002A3C91">
        <w:rPr>
          <w:lang w:val="en-US"/>
        </w:rPr>
        <w:t xml:space="preserve">clause </w:t>
      </w:r>
      <w:r w:rsidRPr="002A3C91">
        <w:rPr>
          <w:lang w:val="en-US"/>
        </w:rPr>
        <w:t xml:space="preserve">should at least be inserted that allows for investments in </w:t>
      </w:r>
      <w:r w:rsidR="00D83C59" w:rsidRPr="002A3C91">
        <w:rPr>
          <w:lang w:val="en-US"/>
        </w:rPr>
        <w:t xml:space="preserve">»other similar financial instruments that are </w:t>
      </w:r>
      <w:r w:rsidRPr="002A3C91">
        <w:rPr>
          <w:lang w:val="en-US"/>
        </w:rPr>
        <w:t xml:space="preserve">generally </w:t>
      </w:r>
      <w:r w:rsidR="00D83C59" w:rsidRPr="002A3C91">
        <w:rPr>
          <w:lang w:val="en-US"/>
        </w:rPr>
        <w:t xml:space="preserve">considered </w:t>
      </w:r>
      <w:r w:rsidRPr="002A3C91">
        <w:rPr>
          <w:lang w:val="en-US"/>
        </w:rPr>
        <w:t xml:space="preserve">highly liquid/promptly </w:t>
      </w:r>
      <w:r w:rsidR="002A3C91" w:rsidRPr="002A3C91">
        <w:rPr>
          <w:lang w:val="en-US"/>
        </w:rPr>
        <w:t>accessible</w:t>
      </w:r>
      <w:bookmarkStart w:id="0" w:name="_GoBack"/>
      <w:bookmarkEnd w:id="0"/>
      <w:r w:rsidRPr="002A3C91">
        <w:rPr>
          <w:lang w:val="en-US"/>
        </w:rPr>
        <w:t xml:space="preserve"> by the participants of the relevant market</w:t>
      </w:r>
      <w:r w:rsidR="00D83C59" w:rsidRPr="002A3C91">
        <w:rPr>
          <w:lang w:val="en-US"/>
        </w:rPr>
        <w:t>«</w:t>
      </w:r>
      <w:r w:rsidRPr="002A3C91">
        <w:rPr>
          <w:lang w:val="en-US"/>
        </w:rPr>
        <w:t>.</w:t>
      </w:r>
    </w:p>
    <w:p w:rsidR="0058520B" w:rsidRPr="002A3C91" w:rsidRDefault="0058520B">
      <w:pPr>
        <w:pStyle w:val="KDDNaslov"/>
        <w:framePr w:w="0" w:hRule="auto" w:wrap="auto" w:vAnchor="margin" w:hAnchor="text" w:xAlign="left" w:yAlign="inline"/>
        <w:rPr>
          <w:lang w:val="en-US"/>
        </w:rPr>
      </w:pPr>
    </w:p>
    <w:p w:rsidR="0058520B" w:rsidRPr="002A3C91" w:rsidRDefault="0058520B">
      <w:pPr>
        <w:pStyle w:val="KDDNaslov"/>
        <w:framePr w:w="0" w:hRule="auto" w:wrap="auto" w:vAnchor="margin" w:hAnchor="text" w:xAlign="left" w:yAlign="inline"/>
        <w:rPr>
          <w:lang w:val="en-US"/>
        </w:rPr>
      </w:pPr>
      <w:r w:rsidRPr="002A3C91">
        <w:rPr>
          <w:lang w:val="en-US"/>
        </w:rPr>
        <w:t>Yours faithfully,</w:t>
      </w:r>
    </w:p>
    <w:p w:rsidR="0058520B" w:rsidRPr="002A3C91" w:rsidRDefault="0058520B">
      <w:pPr>
        <w:pStyle w:val="KDDNaslov"/>
        <w:framePr w:w="0" w:hRule="auto" w:wrap="auto" w:vAnchor="margin" w:hAnchor="text" w:xAlign="left" w:yAlign="inline"/>
        <w:rPr>
          <w:lang w:val="en-US"/>
        </w:rPr>
      </w:pPr>
    </w:p>
    <w:p w:rsidR="0058520B" w:rsidRPr="002A3C91" w:rsidRDefault="0058520B">
      <w:pPr>
        <w:pStyle w:val="KDDNaslov"/>
        <w:framePr w:w="0" w:hRule="auto" w:wrap="auto" w:vAnchor="margin" w:hAnchor="text" w:xAlign="left" w:yAlign="inline"/>
        <w:rPr>
          <w:lang w:val="en-US"/>
        </w:rPr>
      </w:pPr>
    </w:p>
    <w:p w:rsidR="0058520B" w:rsidRPr="002A3C91" w:rsidRDefault="0058520B">
      <w:pPr>
        <w:pStyle w:val="KDDNaslov"/>
        <w:framePr w:w="0" w:hRule="auto" w:wrap="auto" w:vAnchor="margin" w:hAnchor="text" w:xAlign="left" w:yAlign="inline"/>
        <w:rPr>
          <w:lang w:val="en-US"/>
        </w:rPr>
      </w:pPr>
      <w:r w:rsidRPr="002A3C91">
        <w:rPr>
          <w:lang w:val="en-US"/>
        </w:rPr>
        <w:t>Boris Tomaž Šnuderl</w:t>
      </w:r>
    </w:p>
    <w:p w:rsidR="0058520B" w:rsidRPr="002A3C91" w:rsidRDefault="0058520B">
      <w:pPr>
        <w:pStyle w:val="KDDNaslov"/>
        <w:framePr w:w="0" w:hRule="auto" w:wrap="auto" w:vAnchor="margin" w:hAnchor="text" w:xAlign="left" w:yAlign="inline"/>
        <w:rPr>
          <w:lang w:val="en-US"/>
        </w:rPr>
      </w:pPr>
      <w:proofErr w:type="gramStart"/>
      <w:r w:rsidRPr="002A3C91">
        <w:rPr>
          <w:lang w:val="en-US"/>
        </w:rPr>
        <w:t>President &amp;</w:t>
      </w:r>
      <w:proofErr w:type="gramEnd"/>
      <w:r w:rsidRPr="002A3C91">
        <w:rPr>
          <w:lang w:val="en-US"/>
        </w:rPr>
        <w:t xml:space="preserve"> CEO</w:t>
      </w:r>
    </w:p>
    <w:p w:rsidR="004E1E16" w:rsidRPr="002A3C91" w:rsidRDefault="004E1E16">
      <w:pPr>
        <w:pStyle w:val="KDDNormal"/>
        <w:rPr>
          <w:lang w:val="en-US"/>
        </w:rPr>
      </w:pPr>
    </w:p>
    <w:sectPr w:rsidR="004E1E16" w:rsidRPr="002A3C9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977" w:right="1418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571" w:rsidRDefault="008E0571">
      <w:r>
        <w:separator/>
      </w:r>
    </w:p>
  </w:endnote>
  <w:endnote w:type="continuationSeparator" w:id="0">
    <w:p w:rsidR="008E0571" w:rsidRDefault="008E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EC" w:rsidRDefault="007718EC">
    <w:pPr>
      <w:pStyle w:val="Footer2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DBE" w:rsidRPr="005E07C2" w:rsidRDefault="004C1DBE" w:rsidP="004C1DBE">
    <w:pPr>
      <w:pStyle w:val="Footer"/>
    </w:pPr>
    <w:r w:rsidRPr="005E07C2">
      <w:t xml:space="preserve">KDD Central </w:t>
    </w:r>
    <w:proofErr w:type="spellStart"/>
    <w:r w:rsidRPr="005E07C2">
      <w:t>Securities</w:t>
    </w:r>
    <w:proofErr w:type="spellEnd"/>
    <w:r w:rsidRPr="005E07C2">
      <w:t xml:space="preserve"> </w:t>
    </w:r>
    <w:proofErr w:type="spellStart"/>
    <w:r w:rsidRPr="005E07C2">
      <w:t>Clearing</w:t>
    </w:r>
    <w:proofErr w:type="spellEnd"/>
    <w:r w:rsidRPr="005E07C2">
      <w:t xml:space="preserve"> </w:t>
    </w:r>
    <w:proofErr w:type="spellStart"/>
    <w:r w:rsidRPr="005E07C2">
      <w:t>Corporation</w:t>
    </w:r>
    <w:proofErr w:type="spellEnd"/>
  </w:p>
  <w:p w:rsidR="004C1DBE" w:rsidRDefault="004C1DBE" w:rsidP="004C1DBE">
    <w:pPr>
      <w:pStyle w:val="Footer"/>
    </w:pPr>
    <w:r>
      <w:t xml:space="preserve">Tivolska cesta 48, 1542 Ljubljana, </w:t>
    </w:r>
    <w:proofErr w:type="spellStart"/>
    <w:r>
      <w:t>Slovenia</w:t>
    </w:r>
    <w:proofErr w:type="spellEnd"/>
    <w:r>
      <w:t xml:space="preserve"> </w:t>
    </w:r>
    <w:r>
      <w:sym w:font="Wingdings" w:char="F0A7"/>
    </w:r>
    <w:r>
      <w:t xml:space="preserve"> Tel: + 386 1 307 35 00 </w:t>
    </w:r>
    <w:r>
      <w:sym w:font="Wingdings" w:char="F0A7"/>
    </w:r>
    <w:r>
      <w:t xml:space="preserve"> Fax: + 386 1 307 35 07 </w:t>
    </w:r>
    <w:r>
      <w:sym w:font="Wingdings" w:char="F0A7"/>
    </w:r>
    <w:r>
      <w:t xml:space="preserve"> www.kdd.si</w:t>
    </w:r>
  </w:p>
  <w:p w:rsidR="004C1DBE" w:rsidRPr="00212D4A" w:rsidRDefault="004C1DBE" w:rsidP="004C1DBE">
    <w:pPr>
      <w:pStyle w:val="Footer1"/>
      <w:tabs>
        <w:tab w:val="center" w:pos="4536"/>
        <w:tab w:val="right" w:pos="8789"/>
        <w:tab w:val="right" w:pos="9000"/>
      </w:tabs>
      <w:rPr>
        <w:szCs w:val="12"/>
      </w:rPr>
    </w:pPr>
    <w:proofErr w:type="spellStart"/>
    <w:r w:rsidRPr="005E07C2">
      <w:rPr>
        <w:szCs w:val="12"/>
      </w:rPr>
      <w:t>Registered</w:t>
    </w:r>
    <w:proofErr w:type="spellEnd"/>
    <w:r w:rsidRPr="005E07C2">
      <w:rPr>
        <w:szCs w:val="12"/>
      </w:rPr>
      <w:t xml:space="preserve"> at Ljubljana </w:t>
    </w:r>
    <w:proofErr w:type="spellStart"/>
    <w:r w:rsidRPr="005E07C2">
      <w:rPr>
        <w:szCs w:val="12"/>
      </w:rPr>
      <w:t>District</w:t>
    </w:r>
    <w:proofErr w:type="spellEnd"/>
    <w:r w:rsidRPr="005E07C2">
      <w:rPr>
        <w:szCs w:val="12"/>
      </w:rPr>
      <w:t xml:space="preserve"> </w:t>
    </w:r>
    <w:proofErr w:type="spellStart"/>
    <w:r w:rsidRPr="005E07C2">
      <w:rPr>
        <w:szCs w:val="12"/>
      </w:rPr>
      <w:t>Court</w:t>
    </w:r>
    <w:proofErr w:type="spellEnd"/>
    <w:r w:rsidRPr="005E07C2">
      <w:rPr>
        <w:szCs w:val="12"/>
      </w:rPr>
      <w:t xml:space="preserve">, Reg. No.: 5893194  </w:t>
    </w:r>
    <w:r w:rsidRPr="005E07C2">
      <w:rPr>
        <w:szCs w:val="12"/>
      </w:rPr>
      <w:sym w:font="Wingdings" w:char="F0A7"/>
    </w:r>
    <w:r w:rsidRPr="005E07C2">
      <w:rPr>
        <w:szCs w:val="12"/>
      </w:rPr>
      <w:t xml:space="preserve"> </w:t>
    </w:r>
    <w:proofErr w:type="spellStart"/>
    <w:r w:rsidRPr="005E07C2">
      <w:rPr>
        <w:szCs w:val="12"/>
      </w:rPr>
      <w:t>Share</w:t>
    </w:r>
    <w:proofErr w:type="spellEnd"/>
    <w:r w:rsidRPr="005E07C2">
      <w:rPr>
        <w:szCs w:val="12"/>
      </w:rPr>
      <w:t xml:space="preserve"> </w:t>
    </w:r>
    <w:proofErr w:type="spellStart"/>
    <w:r w:rsidRPr="005E07C2">
      <w:rPr>
        <w:szCs w:val="12"/>
      </w:rPr>
      <w:t>capital</w:t>
    </w:r>
    <w:proofErr w:type="spellEnd"/>
    <w:r w:rsidRPr="005E07C2">
      <w:rPr>
        <w:szCs w:val="12"/>
      </w:rPr>
      <w:t xml:space="preserve"> 1.084.960,77 EUR  </w:t>
    </w:r>
    <w:r w:rsidRPr="005E07C2">
      <w:rPr>
        <w:szCs w:val="12"/>
      </w:rPr>
      <w:sym w:font="Wingdings" w:char="F0A7"/>
    </w:r>
    <w:r>
      <w:rPr>
        <w:szCs w:val="12"/>
      </w:rPr>
      <w:t xml:space="preserve">  VAT ID: SI42846811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571" w:rsidRDefault="008E0571">
      <w:r>
        <w:separator/>
      </w:r>
    </w:p>
  </w:footnote>
  <w:footnote w:type="continuationSeparator" w:id="0">
    <w:p w:rsidR="008E0571" w:rsidRDefault="008E0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EC" w:rsidRDefault="007718EC">
    <w:pPr>
      <w:jc w:val="center"/>
      <w:rPr>
        <w:rFonts w:ascii="Verdana" w:hAnsi="Verdana"/>
      </w:rPr>
    </w:pPr>
    <w:r>
      <w:object w:dxaOrig="3098" w:dyaOrig="7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0.25pt;height:28.5pt" o:borderbottomcolor="this">
          <v:imagedata r:id="rId1" o:title="" gain="62915f" blacklevel="-1311f" grayscale="t"/>
        </v:shape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EC" w:rsidRDefault="007718EC">
    <w:pPr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3.25pt;height:63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124C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5E9E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7CD5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189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EF883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06F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4669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BEFD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58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96B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912"/>
    <w:rsid w:val="000D032C"/>
    <w:rsid w:val="00247AF6"/>
    <w:rsid w:val="002A3C91"/>
    <w:rsid w:val="00333EA7"/>
    <w:rsid w:val="004C1DBE"/>
    <w:rsid w:val="004E1E16"/>
    <w:rsid w:val="0058520B"/>
    <w:rsid w:val="00734408"/>
    <w:rsid w:val="007718EC"/>
    <w:rsid w:val="008E0571"/>
    <w:rsid w:val="00BE1912"/>
    <w:rsid w:val="00C472EA"/>
    <w:rsid w:val="00D47EAF"/>
    <w:rsid w:val="00D8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CDDF3D-D814-46FF-BADA-BE58AB8D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Garamond" w:eastAsia="Batang" w:hAnsi="Garamond"/>
      <w:sz w:val="22"/>
      <w:szCs w:val="1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pPr>
      <w:tabs>
        <w:tab w:val="center" w:pos="4536"/>
        <w:tab w:val="right" w:pos="9072"/>
      </w:tabs>
      <w:jc w:val="center"/>
    </w:pPr>
    <w:rPr>
      <w:rFonts w:ascii="Garamond" w:eastAsia="Batang" w:hAnsi="Garamond"/>
      <w:sz w:val="16"/>
      <w:szCs w:val="16"/>
    </w:rPr>
  </w:style>
  <w:style w:type="paragraph" w:styleId="Footer">
    <w:name w:val="footer"/>
    <w:link w:val="FooterChar"/>
    <w:pPr>
      <w:pBdr>
        <w:bottom w:val="single" w:sz="2" w:space="1" w:color="auto"/>
      </w:pBdr>
      <w:tabs>
        <w:tab w:val="center" w:pos="4536"/>
        <w:tab w:val="right" w:pos="9072"/>
      </w:tabs>
      <w:jc w:val="center"/>
    </w:pPr>
    <w:rPr>
      <w:rFonts w:ascii="Verdana" w:eastAsia="Batang" w:hAnsi="Verdana"/>
      <w:sz w:val="16"/>
      <w:szCs w:val="16"/>
    </w:rPr>
  </w:style>
  <w:style w:type="paragraph" w:customStyle="1" w:styleId="KDDNaslovnik">
    <w:name w:val="KDD Naslovnik"/>
    <w:basedOn w:val="KDDNaslov"/>
    <w:next w:val="KDDNaslov"/>
    <w:pPr>
      <w:framePr w:wrap="notBeside"/>
    </w:pPr>
    <w:rPr>
      <w:b/>
    </w:rPr>
  </w:style>
  <w:style w:type="paragraph" w:customStyle="1" w:styleId="KDDNaslov">
    <w:name w:val="KDD Naslov"/>
    <w:basedOn w:val="Normal"/>
    <w:pPr>
      <w:framePr w:w="4142" w:h="1799" w:hRule="exact" w:wrap="notBeside" w:vAnchor="page" w:hAnchor="page" w:x="1419" w:y="3006" w:anchorLock="1"/>
    </w:pPr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</w:rPr>
  </w:style>
  <w:style w:type="paragraph" w:customStyle="1" w:styleId="KDDNormal">
    <w:name w:val="KDD Normal"/>
    <w:basedOn w:val="Normal"/>
  </w:style>
  <w:style w:type="paragraph" w:customStyle="1" w:styleId="KDDZadeva">
    <w:name w:val="KDD Zadeva"/>
    <w:basedOn w:val="Normal"/>
    <w:next w:val="KDDNormal"/>
    <w:pPr>
      <w:spacing w:before="851" w:after="851"/>
    </w:pPr>
    <w:rPr>
      <w:sz w:val="24"/>
      <w:szCs w:val="24"/>
    </w:rPr>
  </w:style>
  <w:style w:type="paragraph" w:customStyle="1" w:styleId="Footer1">
    <w:name w:val="Footer1"/>
    <w:pPr>
      <w:autoSpaceDE w:val="0"/>
      <w:autoSpaceDN w:val="0"/>
      <w:adjustRightInd w:val="0"/>
      <w:jc w:val="center"/>
    </w:pPr>
    <w:rPr>
      <w:rFonts w:ascii="Verdana" w:eastAsia="Batang" w:hAnsi="Verdana"/>
      <w:sz w:val="12"/>
      <w:szCs w:val="16"/>
    </w:rPr>
  </w:style>
  <w:style w:type="character" w:customStyle="1" w:styleId="FooterChar">
    <w:name w:val="Footer Char"/>
    <w:link w:val="Footer"/>
    <w:rsid w:val="004C1DBE"/>
    <w:rPr>
      <w:rFonts w:ascii="Verdana" w:eastAsia="Batang" w:hAnsi="Verdana"/>
      <w:sz w:val="16"/>
      <w:szCs w:val="16"/>
    </w:rPr>
  </w:style>
  <w:style w:type="paragraph" w:customStyle="1" w:styleId="Footer2">
    <w:name w:val="Footer2"/>
    <w:basedOn w:val="Footer"/>
    <w:pPr>
      <w:pBdr>
        <w:top w:val="single" w:sz="2" w:space="1" w:color="auto"/>
        <w:bottom w:val="none" w:sz="0" w:space="0" w:color="auto"/>
      </w:pBd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00100\AppData\Roaming\Microsoft\Templates\KDDdop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KDDdopis</Template>
  <TotalTime>67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Matjaž Titan</dc:creator>
  <cp:keywords/>
  <dc:description/>
  <cp:lastModifiedBy>Matjaž Titan</cp:lastModifiedBy>
  <cp:revision>2</cp:revision>
  <cp:lastPrinted>2014-05-22T13:53:00Z</cp:lastPrinted>
  <dcterms:created xsi:type="dcterms:W3CDTF">2014-05-22T12:46:00Z</dcterms:created>
  <dcterms:modified xsi:type="dcterms:W3CDTF">2014-05-22T14:07:00Z</dcterms:modified>
</cp:coreProperties>
</file>