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3" w:history="1">
        <w:r w:rsidRPr="00616B9B">
          <w:rPr>
            <w:rStyle w:val="Hyperlink"/>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4"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eGrid"/>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FC110D"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319177442" w:edGrp="everyone"/>
                <w:r>
                  <w:rPr>
                    <w:rFonts w:ascii="Arial" w:hAnsi="Arial" w:cs="Arial"/>
                    <w:sz w:val="22"/>
                    <w:szCs w:val="22"/>
                  </w:rPr>
                  <w:t>No</w:t>
                </w:r>
                <w:permEnd w:id="319177442"/>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FC110D"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617571495" w:edGrp="everyone"/>
                <w:r>
                  <w:rPr>
                    <w:rFonts w:ascii="Arial" w:hAnsi="Arial" w:cs="Arial"/>
                    <w:sz w:val="22"/>
                    <w:szCs w:val="22"/>
                  </w:rPr>
                  <w:t>Central Securities Depository</w:t>
                </w:r>
                <w:permEnd w:id="617571495"/>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842703593" w:edGrp="everyone" w:displacedByCustomXml="prev"/>
            <w:tc>
              <w:tcPr>
                <w:tcW w:w="6118" w:type="dxa"/>
              </w:tcPr>
              <w:p w:rsidR="001476E2" w:rsidRPr="0026621B" w:rsidRDefault="00FC110D" w:rsidP="0007062D">
                <w:pPr>
                  <w:rPr>
                    <w:rFonts w:ascii="Arial" w:hAnsi="Arial" w:cs="Arial"/>
                    <w:sz w:val="22"/>
                    <w:szCs w:val="22"/>
                  </w:rPr>
                </w:pPr>
                <w:r>
                  <w:rPr>
                    <w:rFonts w:ascii="Arial" w:hAnsi="Arial" w:cs="Arial"/>
                    <w:sz w:val="22"/>
                    <w:szCs w:val="22"/>
                  </w:rPr>
                  <w:t>Europe</w:t>
                </w:r>
              </w:p>
            </w:tc>
            <w:permEnd w:id="1842703593"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FC110D" w:rsidRPr="00FC110D" w:rsidRDefault="00FC110D" w:rsidP="00FC110D">
      <w:pPr>
        <w:autoSpaceDE w:val="0"/>
        <w:autoSpaceDN w:val="0"/>
        <w:adjustRightInd w:val="0"/>
        <w:rPr>
          <w:rFonts w:ascii="Arial" w:hAnsi="Arial" w:cs="Arial"/>
          <w:color w:val="FF0000"/>
          <w:sz w:val="22"/>
          <w:szCs w:val="22"/>
        </w:rPr>
      </w:pPr>
      <w:permStart w:id="323774411" w:edGrp="everyone"/>
      <w:r w:rsidRPr="00FC110D">
        <w:rPr>
          <w:rFonts w:ascii="Arial" w:hAnsi="Arial" w:cs="Arial"/>
          <w:color w:val="FF0000"/>
          <w:sz w:val="22"/>
          <w:szCs w:val="22"/>
        </w:rPr>
        <w:t xml:space="preserve">The responses provided in this document convey the views and opinions of the Deutsche Börse Group, and more specifically of: Clearstream Banking Luxembourg S.A., Clearstream Banking Frankfurt AG, and LuxCSD S.A. jointly referred hereafter as “Clearstream”. </w:t>
      </w:r>
    </w:p>
    <w:p w:rsidR="00FC110D" w:rsidRDefault="00FC110D" w:rsidP="00FC110D">
      <w:pPr>
        <w:rPr>
          <w:rFonts w:ascii="Arial" w:hAnsi="Arial" w:cs="Arial"/>
          <w:color w:val="FF0000"/>
          <w:sz w:val="22"/>
          <w:szCs w:val="22"/>
        </w:rPr>
      </w:pPr>
      <w:bookmarkStart w:id="3" w:name="_GoBack"/>
      <w:bookmarkEnd w:id="3"/>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We are in favour of closing the CSD-R gap in this regard by issuing these guidelines for CCPs and TVs to ensure consistent, uniform and coherent application by all entities subject to CSD-R.</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We agree with the types of risk to be assessed as long as they are identical to those specified in the CSD-R RTS applicable for CSDs.</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With regard to chapter 2.5 paragraph 12 a, the term “obligations” should be specified further as it is unclear which financial obligations should be considered relevant in regards to CSD access to a CCP or TV.</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With regard to chapter 2.5 paragraph 13 c, the term “significant changes” should be specified further to ensure a common understanding.</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olor w:val="FF0000"/>
          <w:sz w:val="22"/>
        </w:rPr>
      </w:pPr>
      <w:r w:rsidRPr="00FC110D">
        <w:rPr>
          <w:rFonts w:ascii="Arial" w:hAnsi="Arial" w:cs="Arial"/>
          <w:color w:val="FF0000"/>
          <w:sz w:val="22"/>
          <w:szCs w:val="22"/>
        </w:rPr>
        <w:t>With regard to chapter 2.5 paragraph 13 d, we suggest to phrase the sentence “…to implement on-going unreasonable (e.g. in terms of volume, capacity required) manual processing…” to avoid that any type of (minor) manual intervention could lead to a denial of access.</w:t>
      </w:r>
      <w:r w:rsidRPr="00FC110D">
        <w:rPr>
          <w:rFonts w:ascii="Arial" w:hAnsi="Arial"/>
          <w:color w:val="FF0000"/>
          <w:sz w:val="22"/>
        </w:rPr>
        <w:t xml:space="preserve"> </w:t>
      </w:r>
    </w:p>
    <w:p w:rsidR="00FC110D" w:rsidRPr="00FC110D" w:rsidRDefault="00FC110D" w:rsidP="00FC110D">
      <w:pPr>
        <w:rPr>
          <w:rFonts w:ascii="Arial" w:hAnsi="Arial"/>
          <w:color w:val="FF0000"/>
          <w:sz w:val="22"/>
        </w:rPr>
      </w:pPr>
    </w:p>
    <w:p w:rsidR="00FC110D" w:rsidRPr="00FC110D" w:rsidRDefault="00FC110D" w:rsidP="00FC110D">
      <w:pPr>
        <w:rPr>
          <w:rFonts w:ascii="Arial" w:hAnsi="Arial"/>
          <w:color w:val="FF0000"/>
          <w:sz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Moreover, we agree to include the risk assessment as set out in 2.5 Guidelines, which compri</w:t>
      </w:r>
      <w:r w:rsidRPr="00FC110D">
        <w:rPr>
          <w:rFonts w:ascii="Arial" w:hAnsi="Arial" w:cs="Arial"/>
          <w:color w:val="FF0000"/>
          <w:sz w:val="22"/>
          <w:szCs w:val="22"/>
        </w:rPr>
        <w:t>s</w:t>
      </w:r>
      <w:r w:rsidRPr="00FC110D">
        <w:rPr>
          <w:rFonts w:ascii="Arial" w:hAnsi="Arial" w:cs="Arial"/>
          <w:color w:val="FF0000"/>
          <w:sz w:val="22"/>
          <w:szCs w:val="22"/>
        </w:rPr>
        <w:t xml:space="preserve">es </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(a) the legal risks in 11.</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(b) the financial risks in 12.</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 xml:space="preserve">(c) the operational risks in 13. </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Furthermore, a risk analysis of a CSD requesting access at the CCP might entail shortcomings if the following criteria are not duly assessed:</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1.</w:t>
      </w:r>
      <w:r w:rsidRPr="00FC110D">
        <w:rPr>
          <w:rFonts w:ascii="Arial" w:hAnsi="Arial" w:cs="Arial"/>
          <w:color w:val="FF0000"/>
          <w:sz w:val="22"/>
          <w:szCs w:val="22"/>
        </w:rPr>
        <w:tab/>
        <w:t>A trading venue’s (TV) compatibility with Advanced Risk Protection i.e. near real-time risk check across TVs/CSDs and Stop Button functionality to set member of TVs/CSDs on hold triggered by CCP e.g. in case of Default Management. CCPs points out that such functionality is vital for the processing in the case of a Clearing Member Default.</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2.</w:t>
      </w:r>
      <w:r w:rsidRPr="00FC110D">
        <w:rPr>
          <w:rFonts w:ascii="Arial" w:hAnsi="Arial" w:cs="Arial"/>
          <w:color w:val="FF0000"/>
          <w:sz w:val="22"/>
          <w:szCs w:val="22"/>
        </w:rPr>
        <w:tab/>
        <w:t>Price Quality Checks are necessary to ensure the quality of the settlement price and intraday prices. We also highlight that the CSD should be required to provide evidence of the reliability of these prices.</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3.</w:t>
      </w:r>
      <w:r w:rsidRPr="00FC110D">
        <w:rPr>
          <w:rFonts w:ascii="Arial" w:hAnsi="Arial" w:cs="Arial"/>
          <w:color w:val="FF0000"/>
          <w:sz w:val="22"/>
          <w:szCs w:val="22"/>
        </w:rPr>
        <w:tab/>
        <w:t>For the admission of new products the CCP should be involved in decision process. Specifically, elements of New Product Process should be aligned between TVs/CSDs and CCP e.g. availability of sufficient price history, suitability of risk methodology to cover all relevant risk factors and other special aspects e.g. liquidity situation.</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4.</w:t>
      </w:r>
      <w:r w:rsidRPr="00FC110D">
        <w:rPr>
          <w:rFonts w:ascii="Arial" w:hAnsi="Arial" w:cs="Arial"/>
          <w:color w:val="FF0000"/>
          <w:sz w:val="22"/>
          <w:szCs w:val="22"/>
        </w:rPr>
        <w:tab/>
        <w:t>The Risk Methodology should be based on CCP analysis of risk profile for the products / TVs/ CSDs in question. For example, setting of risk parameters, attribution to specific liquidation groups, portfolio offsets (considering potential basis risk) and margin add-ons have to be a</w:t>
      </w:r>
      <w:r w:rsidRPr="00FC110D">
        <w:rPr>
          <w:rFonts w:ascii="Arial" w:hAnsi="Arial" w:cs="Arial"/>
          <w:color w:val="FF0000"/>
          <w:sz w:val="22"/>
          <w:szCs w:val="22"/>
        </w:rPr>
        <w:t>s</w:t>
      </w:r>
      <w:r w:rsidRPr="00FC110D">
        <w:rPr>
          <w:rFonts w:ascii="Arial" w:hAnsi="Arial" w:cs="Arial"/>
          <w:color w:val="FF0000"/>
          <w:sz w:val="22"/>
          <w:szCs w:val="22"/>
        </w:rPr>
        <w:t>sessed.</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5.</w:t>
      </w:r>
      <w:r w:rsidRPr="00FC110D">
        <w:rPr>
          <w:rFonts w:ascii="Arial" w:hAnsi="Arial" w:cs="Arial"/>
          <w:color w:val="FF0000"/>
          <w:sz w:val="22"/>
          <w:szCs w:val="22"/>
        </w:rPr>
        <w:tab/>
        <w:t>For the Default Management,  CCPs need access to TVs/ CSDs to perform a default management process as stated above. For instance, the access should be compatible with standard APIs and with the auction format.</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lastRenderedPageBreak/>
        <w:t>6.</w:t>
      </w:r>
      <w:r w:rsidRPr="00FC110D">
        <w:rPr>
          <w:rFonts w:ascii="Arial" w:hAnsi="Arial" w:cs="Arial"/>
          <w:color w:val="FF0000"/>
          <w:sz w:val="22"/>
          <w:szCs w:val="22"/>
        </w:rPr>
        <w:tab/>
        <w:t>The CSD should not prevent the application of functionalities of continuous trading and risk management on CCP level: Volatility Interrupts/ Circuit Breakers, Market Maker protection functionality.</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7.</w:t>
      </w:r>
      <w:r w:rsidRPr="00FC110D">
        <w:rPr>
          <w:rFonts w:ascii="Arial" w:hAnsi="Arial" w:cs="Arial"/>
          <w:color w:val="FF0000"/>
          <w:sz w:val="22"/>
          <w:szCs w:val="22"/>
        </w:rPr>
        <w:tab/>
        <w:t>CSDs (in a role as settlement location) should adhere to high standards of reliability to allow smooth processing also on CCP side from operational risk perspective.</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8.</w:t>
      </w:r>
      <w:r w:rsidRPr="00FC110D">
        <w:rPr>
          <w:rFonts w:ascii="Arial" w:hAnsi="Arial" w:cs="Arial"/>
          <w:color w:val="FF0000"/>
          <w:sz w:val="22"/>
          <w:szCs w:val="22"/>
        </w:rPr>
        <w:tab/>
        <w:t>CSDs (in a role as collateral location) should be compatible with CCP’s monitoring and enforcement of Credit, Concentrations- and Wrong-Way Risks, and compatible to collateral eligibility rules set by CCP. Legal Accessibility to securities collateral by CCP should be ensured in case of CSD default.</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9.</w:t>
      </w:r>
      <w:r w:rsidRPr="00FC110D">
        <w:rPr>
          <w:rFonts w:ascii="Arial" w:hAnsi="Arial" w:cs="Arial"/>
          <w:color w:val="FF0000"/>
          <w:sz w:val="22"/>
          <w:szCs w:val="22"/>
        </w:rPr>
        <w:tab/>
        <w:t>CCP under EMIR must not be forced to file an application for a service extension purs</w:t>
      </w:r>
      <w:r w:rsidRPr="00FC110D">
        <w:rPr>
          <w:rFonts w:ascii="Arial" w:hAnsi="Arial" w:cs="Arial"/>
          <w:color w:val="FF0000"/>
          <w:sz w:val="22"/>
          <w:szCs w:val="22"/>
        </w:rPr>
        <w:t>u</w:t>
      </w:r>
      <w:r w:rsidRPr="00FC110D">
        <w:rPr>
          <w:rFonts w:ascii="Arial" w:hAnsi="Arial" w:cs="Arial"/>
          <w:color w:val="FF0000"/>
          <w:sz w:val="22"/>
          <w:szCs w:val="22"/>
        </w:rPr>
        <w:t>ant to Article 14 EMIR.</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10.</w:t>
      </w:r>
      <w:r w:rsidRPr="00FC110D">
        <w:rPr>
          <w:rFonts w:ascii="Arial" w:hAnsi="Arial" w:cs="Arial"/>
          <w:color w:val="FF0000"/>
          <w:sz w:val="22"/>
          <w:szCs w:val="22"/>
        </w:rPr>
        <w:tab/>
        <w:t>Besides the operational risk assessment, the technical connectivity requires that in case a requesting CSD requests access to the trading feed of the CCP the requesting CSD shall also comply with the technical and functional requirements established by the CCP. This includes the settlement of the full scope of securities and also the necessary payments infrastructure.</w:t>
      </w: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11.</w:t>
      </w:r>
      <w:r w:rsidRPr="00FC110D">
        <w:rPr>
          <w:rFonts w:ascii="Arial" w:hAnsi="Arial" w:cs="Arial"/>
          <w:color w:val="FF0000"/>
          <w:sz w:val="22"/>
          <w:szCs w:val="22"/>
        </w:rPr>
        <w:tab/>
        <w:t>Further considerations may be necessary if the access is requested not only to the tra</w:t>
      </w:r>
      <w:r w:rsidRPr="00FC110D">
        <w:rPr>
          <w:rFonts w:ascii="Arial" w:hAnsi="Arial" w:cs="Arial"/>
          <w:color w:val="FF0000"/>
          <w:sz w:val="22"/>
          <w:szCs w:val="22"/>
        </w:rPr>
        <w:t>d</w:t>
      </w:r>
      <w:r w:rsidRPr="00FC110D">
        <w:rPr>
          <w:rFonts w:ascii="Arial" w:hAnsi="Arial" w:cs="Arial"/>
          <w:color w:val="FF0000"/>
          <w:sz w:val="22"/>
          <w:szCs w:val="22"/>
        </w:rPr>
        <w:t>ing feed of a CCP but also to the collateral positions of a CCP by a CSD. Collateral for clearing purposes of a CCP can only be held at eligible CSDs as defined by the CCP.</w:t>
      </w:r>
    </w:p>
    <w:p w:rsidR="00FC110D" w:rsidRPr="00FC110D" w:rsidRDefault="00FC110D" w:rsidP="00FC110D">
      <w:pPr>
        <w:rPr>
          <w:rFonts w:ascii="Arial" w:hAnsi="Arial" w:cs="Arial"/>
          <w:color w:val="FF0000"/>
          <w:sz w:val="22"/>
          <w:szCs w:val="22"/>
        </w:rPr>
      </w:pPr>
    </w:p>
    <w:p w:rsidR="00FC110D" w:rsidRPr="00FC110D" w:rsidRDefault="00FC110D" w:rsidP="00FC110D">
      <w:pPr>
        <w:rPr>
          <w:rFonts w:ascii="Arial" w:hAnsi="Arial" w:cs="Arial"/>
          <w:color w:val="FF0000"/>
          <w:sz w:val="22"/>
          <w:szCs w:val="22"/>
        </w:rPr>
      </w:pPr>
      <w:r w:rsidRPr="00FC110D">
        <w:rPr>
          <w:rFonts w:ascii="Arial" w:hAnsi="Arial" w:cs="Arial"/>
          <w:color w:val="FF0000"/>
          <w:sz w:val="22"/>
          <w:szCs w:val="22"/>
        </w:rPr>
        <w:t>We appreciate that the listed prerequisite for granting a CSD access to the transaction feeds of the CCP entails minimum standards only. Therefore the Guidelines should keep enumerating by open a list with the phrase “that the competent authority should take into account at least the following criteria”. This will ensure that latest standards driven by the market or by regulatory requirements can be fully considered.</w:t>
      </w:r>
    </w:p>
    <w:p w:rsidR="00FC110D" w:rsidRPr="00FC110D" w:rsidRDefault="00FC110D" w:rsidP="00FC110D">
      <w:pPr>
        <w:rPr>
          <w:rFonts w:ascii="Arial" w:hAnsi="Arial" w:cs="Arial"/>
          <w:color w:val="FF0000"/>
          <w:sz w:val="22"/>
          <w:szCs w:val="22"/>
        </w:rPr>
      </w:pPr>
    </w:p>
    <w:permEnd w:id="323774411"/>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5"/>
      <w:headerReference w:type="first" r:id="rId16"/>
      <w:footerReference w:type="first" r:id="rId17"/>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FC110D">
            <w:rPr>
              <w:rFonts w:ascii="Arial" w:hAnsi="Arial" w:cs="Arial"/>
              <w:noProof/>
              <w:sz w:val="22"/>
              <w:szCs w:val="22"/>
            </w:rPr>
            <w:t>6</w:t>
          </w:r>
          <w:r w:rsidRPr="00616B9B">
            <w:rPr>
              <w:rFonts w:ascii="Arial" w:hAnsi="Arial"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A0B7C">
    <w:pPr>
      <w:pStyle w:val="Header"/>
    </w:pPr>
    <w:r>
      <w:rPr>
        <w:noProof/>
        <w:lang w:eastAsia="en-GB"/>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35A4"/>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10D"/>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4EE8-2656-4757-A27D-006AC82DC421}">
  <ds:schemaRefs>
    <ds:schemaRef ds:uri="http://schemas.openxmlformats.org/officeDocument/2006/bibliography"/>
  </ds:schemaRefs>
</ds:datastoreItem>
</file>

<file path=customXml/itemProps2.xml><?xml version="1.0" encoding="utf-8"?>
<ds:datastoreItem xmlns:ds="http://schemas.openxmlformats.org/officeDocument/2006/customXml" ds:itemID="{15152FC0-118A-4079-BE13-18519DA9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6509</Characters>
  <Application>Microsoft Office Word</Application>
  <DocSecurity>8</DocSecurity>
  <Lines>54</Lines>
  <Paragraphs>15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7708</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di Lorenzo Italo</cp:lastModifiedBy>
  <cp:revision>3</cp:revision>
  <cp:lastPrinted>2014-05-08T16:06:00Z</cp:lastPrinted>
  <dcterms:created xsi:type="dcterms:W3CDTF">2015-02-19T16:35:00Z</dcterms:created>
  <dcterms:modified xsi:type="dcterms:W3CDTF">2015-02-19T16:39:00Z</dcterms:modified>
</cp:coreProperties>
</file>