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3" w:history="1">
        <w:r w:rsidRPr="00616B9B">
          <w:rPr>
            <w:rStyle w:val="Hyperlink"/>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4" w:history="1">
        <w:r w:rsidRPr="00616B9B">
          <w:rPr>
            <w:rStyle w:val="Hyperlink"/>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Heading1"/>
        <w:numPr>
          <w:ilvl w:val="0"/>
          <w:numId w:val="0"/>
        </w:numPr>
        <w:rPr>
          <w:rFonts w:ascii="Arial" w:hAnsi="Arial"/>
          <w:sz w:val="22"/>
          <w:szCs w:val="22"/>
        </w:rPr>
      </w:pPr>
      <w:r w:rsidRPr="0026621B">
        <w:rPr>
          <w:rFonts w:ascii="Arial" w:hAnsi="Arial"/>
          <w:sz w:val="22"/>
          <w:szCs w:val="22"/>
        </w:rPr>
        <w:t>General information about respondent</w:t>
      </w:r>
    </w:p>
    <w:tbl>
      <w:tblPr>
        <w:tblStyle w:val="TableGrid"/>
        <w:tblW w:w="0" w:type="auto"/>
        <w:tblLook w:val="04A0" w:firstRow="1" w:lastRow="0" w:firstColumn="1" w:lastColumn="0" w:noHBand="0" w:noVBand="1"/>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0B3D0D"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EndPr/>
              <w:sdtContent>
                <w:permStart w:id="1093738706" w:edGrp="everyone"/>
                <w:r>
                  <w:rPr>
                    <w:rFonts w:ascii="Arial" w:hAnsi="Arial" w:cs="Arial"/>
                    <w:sz w:val="22"/>
                    <w:szCs w:val="22"/>
                  </w:rPr>
                  <w:t>No</w:t>
                </w:r>
                <w:permEnd w:id="1093738706"/>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0B3D0D"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EndPr/>
              <w:sdtContent>
                <w:permStart w:id="141256667" w:edGrp="everyone"/>
                <w:r>
                  <w:rPr>
                    <w:rFonts w:ascii="Arial" w:hAnsi="Arial" w:cs="Arial"/>
                    <w:sz w:val="22"/>
                    <w:szCs w:val="22"/>
                  </w:rPr>
                  <w:t>Central Counterparty</w:t>
                </w:r>
                <w:permEnd w:id="141256667"/>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358948305" w:edGrp="everyone" w:displacedByCustomXml="prev"/>
            <w:tc>
              <w:tcPr>
                <w:tcW w:w="6118" w:type="dxa"/>
              </w:tcPr>
              <w:p w:rsidR="001476E2" w:rsidRPr="0026621B" w:rsidRDefault="000B3D0D" w:rsidP="0007062D">
                <w:pPr>
                  <w:rPr>
                    <w:rFonts w:ascii="Arial" w:hAnsi="Arial" w:cs="Arial"/>
                    <w:sz w:val="22"/>
                    <w:szCs w:val="22"/>
                  </w:rPr>
                </w:pPr>
                <w:r>
                  <w:rPr>
                    <w:rFonts w:ascii="Arial" w:hAnsi="Arial" w:cs="Arial"/>
                    <w:sz w:val="22"/>
                    <w:szCs w:val="22"/>
                  </w:rPr>
                  <w:t>Germany</w:t>
                </w:r>
              </w:p>
            </w:tc>
            <w:permEnd w:id="358948305"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0B3D0D" w:rsidRPr="00A75F4C" w:rsidRDefault="000B3D0D" w:rsidP="000B3D0D">
      <w:pPr>
        <w:rPr>
          <w:rFonts w:ascii="Arial" w:hAnsi="Arial" w:cs="Arial"/>
          <w:sz w:val="22"/>
          <w:szCs w:val="22"/>
        </w:rPr>
      </w:pPr>
      <w:permStart w:id="76481912" w:edGrp="everyone"/>
      <w:r w:rsidRPr="00A75F4C">
        <w:rPr>
          <w:rFonts w:ascii="Arial" w:hAnsi="Arial" w:cs="Arial"/>
          <w:sz w:val="22"/>
          <w:szCs w:val="22"/>
        </w:rPr>
        <w:t xml:space="preserve">We agree to include the risk assessment as set out in 2.5 Guidelines, which comprises </w:t>
      </w:r>
    </w:p>
    <w:p w:rsidR="000B3D0D" w:rsidRPr="00A75F4C" w:rsidRDefault="000B3D0D" w:rsidP="000B3D0D">
      <w:pPr>
        <w:rPr>
          <w:rFonts w:ascii="Arial" w:hAnsi="Arial" w:cs="Arial"/>
          <w:sz w:val="22"/>
          <w:szCs w:val="22"/>
        </w:rPr>
      </w:pPr>
      <w:r w:rsidRPr="00A75F4C">
        <w:rPr>
          <w:rFonts w:ascii="Arial" w:hAnsi="Arial" w:cs="Arial"/>
          <w:sz w:val="22"/>
          <w:szCs w:val="22"/>
        </w:rPr>
        <w:t>(a) the legal risks in 11.</w:t>
      </w:r>
    </w:p>
    <w:p w:rsidR="000B3D0D" w:rsidRPr="00A75F4C" w:rsidRDefault="000B3D0D" w:rsidP="000B3D0D">
      <w:pPr>
        <w:rPr>
          <w:rFonts w:ascii="Arial" w:hAnsi="Arial" w:cs="Arial"/>
          <w:sz w:val="22"/>
          <w:szCs w:val="22"/>
        </w:rPr>
      </w:pPr>
      <w:r w:rsidRPr="00A75F4C">
        <w:rPr>
          <w:rFonts w:ascii="Arial" w:hAnsi="Arial" w:cs="Arial"/>
          <w:sz w:val="22"/>
          <w:szCs w:val="22"/>
        </w:rPr>
        <w:t>(b) the financial risks in 12.</w:t>
      </w:r>
    </w:p>
    <w:p w:rsidR="000B3D0D" w:rsidRDefault="000B3D0D" w:rsidP="000B3D0D">
      <w:pPr>
        <w:rPr>
          <w:rFonts w:ascii="Arial" w:hAnsi="Arial" w:cs="Arial"/>
          <w:sz w:val="22"/>
          <w:szCs w:val="22"/>
        </w:rPr>
      </w:pPr>
      <w:r w:rsidRPr="00A75F4C">
        <w:rPr>
          <w:rFonts w:ascii="Arial" w:hAnsi="Arial" w:cs="Arial"/>
          <w:sz w:val="22"/>
          <w:szCs w:val="22"/>
        </w:rPr>
        <w:t xml:space="preserve">(c) the operational risks in 13. </w:t>
      </w:r>
    </w:p>
    <w:p w:rsidR="000B3D0D" w:rsidRPr="00A75F4C" w:rsidRDefault="000B3D0D" w:rsidP="000B3D0D">
      <w:pPr>
        <w:rPr>
          <w:rFonts w:ascii="Arial" w:hAnsi="Arial" w:cs="Arial"/>
          <w:sz w:val="22"/>
          <w:szCs w:val="22"/>
        </w:rPr>
      </w:pPr>
    </w:p>
    <w:p w:rsidR="000B3D0D" w:rsidRDefault="000B3D0D" w:rsidP="000B3D0D">
      <w:pPr>
        <w:autoSpaceDE w:val="0"/>
        <w:autoSpaceDN w:val="0"/>
        <w:adjustRightInd w:val="0"/>
        <w:rPr>
          <w:rFonts w:ascii="Arial" w:hAnsi="Arial" w:cs="Arial"/>
          <w:color w:val="000000"/>
          <w:sz w:val="22"/>
          <w:szCs w:val="22"/>
        </w:rPr>
      </w:pPr>
      <w:r w:rsidRPr="00B40B4D">
        <w:rPr>
          <w:rFonts w:ascii="Arial" w:hAnsi="Arial" w:cs="Arial"/>
          <w:color w:val="000000"/>
          <w:sz w:val="22"/>
          <w:szCs w:val="22"/>
        </w:rPr>
        <w:t xml:space="preserve">Furthermore, a risk analysis of a CSD requesting access at the CCP </w:t>
      </w:r>
      <w:r>
        <w:rPr>
          <w:rFonts w:ascii="Arial" w:hAnsi="Arial" w:cs="Arial"/>
          <w:color w:val="000000"/>
          <w:sz w:val="22"/>
          <w:szCs w:val="22"/>
        </w:rPr>
        <w:t>might entail shortcomings if the following criteria are not duly assessed:</w:t>
      </w:r>
    </w:p>
    <w:p w:rsidR="000B3D0D" w:rsidRPr="00B40B4D" w:rsidRDefault="000B3D0D" w:rsidP="000B3D0D">
      <w:pPr>
        <w:autoSpaceDE w:val="0"/>
        <w:autoSpaceDN w:val="0"/>
        <w:adjustRightInd w:val="0"/>
        <w:rPr>
          <w:rFonts w:ascii="Arial" w:hAnsi="Arial" w:cs="Arial"/>
          <w:color w:val="000000"/>
          <w:sz w:val="22"/>
          <w:szCs w:val="22"/>
        </w:rPr>
      </w:pPr>
    </w:p>
    <w:p w:rsidR="000B3D0D" w:rsidRPr="00B40B4D" w:rsidRDefault="000B3D0D" w:rsidP="000B3D0D">
      <w:pPr>
        <w:pStyle w:val="ListParagraph"/>
        <w:numPr>
          <w:ilvl w:val="0"/>
          <w:numId w:val="42"/>
        </w:numPr>
        <w:ind w:left="709" w:hanging="709"/>
        <w:rPr>
          <w:rFonts w:ascii="Arial" w:hAnsi="Arial" w:cs="Arial"/>
          <w:sz w:val="22"/>
          <w:szCs w:val="22"/>
        </w:rPr>
      </w:pPr>
      <w:r>
        <w:rPr>
          <w:rFonts w:ascii="Arial" w:hAnsi="Arial" w:cs="Arial"/>
          <w:sz w:val="22"/>
          <w:szCs w:val="22"/>
        </w:rPr>
        <w:t>A CSD as well as a trading venue (TV) should be</w:t>
      </w:r>
      <w:r w:rsidRPr="00B40B4D">
        <w:rPr>
          <w:rFonts w:ascii="Arial" w:hAnsi="Arial" w:cs="Arial"/>
          <w:sz w:val="22"/>
          <w:szCs w:val="22"/>
        </w:rPr>
        <w:t xml:space="preserve"> </w:t>
      </w:r>
      <w:r>
        <w:rPr>
          <w:rFonts w:ascii="Arial" w:hAnsi="Arial" w:cs="Arial"/>
          <w:sz w:val="22"/>
          <w:szCs w:val="22"/>
        </w:rPr>
        <w:t xml:space="preserve">required to be </w:t>
      </w:r>
      <w:r w:rsidRPr="00B40B4D">
        <w:rPr>
          <w:rFonts w:ascii="Arial" w:hAnsi="Arial" w:cs="Arial"/>
          <w:sz w:val="22"/>
          <w:szCs w:val="22"/>
        </w:rPr>
        <w:t>compat</w:t>
      </w:r>
      <w:r>
        <w:rPr>
          <w:rFonts w:ascii="Arial" w:hAnsi="Arial" w:cs="Arial"/>
          <w:sz w:val="22"/>
          <w:szCs w:val="22"/>
        </w:rPr>
        <w:t>i</w:t>
      </w:r>
      <w:r w:rsidRPr="00B40B4D">
        <w:rPr>
          <w:rFonts w:ascii="Arial" w:hAnsi="Arial" w:cs="Arial"/>
          <w:sz w:val="22"/>
          <w:szCs w:val="22"/>
        </w:rPr>
        <w:t>bl</w:t>
      </w:r>
      <w:r>
        <w:rPr>
          <w:rFonts w:ascii="Arial" w:hAnsi="Arial" w:cs="Arial"/>
          <w:sz w:val="22"/>
          <w:szCs w:val="22"/>
        </w:rPr>
        <w:t>e</w:t>
      </w:r>
      <w:r w:rsidRPr="00B40B4D">
        <w:rPr>
          <w:rFonts w:ascii="Arial" w:hAnsi="Arial" w:cs="Arial"/>
          <w:sz w:val="22"/>
          <w:szCs w:val="22"/>
        </w:rPr>
        <w:t xml:space="preserve"> with</w:t>
      </w:r>
      <w:r>
        <w:rPr>
          <w:rFonts w:ascii="Arial" w:hAnsi="Arial" w:cs="Arial"/>
          <w:sz w:val="22"/>
          <w:szCs w:val="22"/>
        </w:rPr>
        <w:t xml:space="preserve"> the CCP’s risk management measures</w:t>
      </w:r>
      <w:r w:rsidRPr="00B40B4D">
        <w:rPr>
          <w:rFonts w:ascii="Arial" w:hAnsi="Arial" w:cs="Arial"/>
          <w:sz w:val="22"/>
          <w:szCs w:val="22"/>
        </w:rPr>
        <w:t xml:space="preserve"> </w:t>
      </w:r>
      <w:r>
        <w:rPr>
          <w:rFonts w:ascii="Arial" w:hAnsi="Arial" w:cs="Arial"/>
          <w:sz w:val="22"/>
          <w:szCs w:val="22"/>
        </w:rPr>
        <w:t xml:space="preserve">such as the </w:t>
      </w:r>
      <w:r w:rsidRPr="00B40B4D">
        <w:rPr>
          <w:rFonts w:ascii="Arial" w:hAnsi="Arial" w:cs="Arial"/>
          <w:sz w:val="22"/>
          <w:szCs w:val="22"/>
        </w:rPr>
        <w:t xml:space="preserve">near real-time risk check </w:t>
      </w:r>
      <w:r>
        <w:rPr>
          <w:rFonts w:ascii="Arial" w:hAnsi="Arial" w:cs="Arial"/>
          <w:sz w:val="22"/>
          <w:szCs w:val="22"/>
        </w:rPr>
        <w:t>that is pe</w:t>
      </w:r>
      <w:r>
        <w:rPr>
          <w:rFonts w:ascii="Arial" w:hAnsi="Arial" w:cs="Arial"/>
          <w:sz w:val="22"/>
          <w:szCs w:val="22"/>
        </w:rPr>
        <w:t>r</w:t>
      </w:r>
      <w:r>
        <w:rPr>
          <w:rFonts w:ascii="Arial" w:hAnsi="Arial" w:cs="Arial"/>
          <w:sz w:val="22"/>
          <w:szCs w:val="22"/>
        </w:rPr>
        <w:t xml:space="preserve">formed </w:t>
      </w:r>
      <w:r w:rsidRPr="00B40B4D">
        <w:rPr>
          <w:rFonts w:ascii="Arial" w:hAnsi="Arial" w:cs="Arial"/>
          <w:sz w:val="22"/>
          <w:szCs w:val="22"/>
        </w:rPr>
        <w:t>across CSDs</w:t>
      </w:r>
      <w:r>
        <w:rPr>
          <w:rFonts w:ascii="Arial" w:hAnsi="Arial" w:cs="Arial"/>
          <w:sz w:val="22"/>
          <w:szCs w:val="22"/>
        </w:rPr>
        <w:t>/TVs</w:t>
      </w:r>
      <w:r w:rsidRPr="00B40B4D">
        <w:rPr>
          <w:rFonts w:ascii="Arial" w:hAnsi="Arial" w:cs="Arial"/>
          <w:sz w:val="22"/>
          <w:szCs w:val="22"/>
        </w:rPr>
        <w:t xml:space="preserve"> and </w:t>
      </w:r>
      <w:r>
        <w:rPr>
          <w:rFonts w:ascii="Arial" w:hAnsi="Arial" w:cs="Arial"/>
          <w:sz w:val="22"/>
          <w:szCs w:val="22"/>
        </w:rPr>
        <w:t>the s</w:t>
      </w:r>
      <w:r w:rsidRPr="00B40B4D">
        <w:rPr>
          <w:rFonts w:ascii="Arial" w:hAnsi="Arial" w:cs="Arial"/>
          <w:sz w:val="22"/>
          <w:szCs w:val="22"/>
        </w:rPr>
        <w:t xml:space="preserve">top </w:t>
      </w:r>
      <w:r>
        <w:rPr>
          <w:rFonts w:ascii="Arial" w:hAnsi="Arial" w:cs="Arial"/>
          <w:sz w:val="22"/>
          <w:szCs w:val="22"/>
        </w:rPr>
        <w:t>b</w:t>
      </w:r>
      <w:r w:rsidRPr="00B40B4D">
        <w:rPr>
          <w:rFonts w:ascii="Arial" w:hAnsi="Arial" w:cs="Arial"/>
          <w:sz w:val="22"/>
          <w:szCs w:val="22"/>
        </w:rPr>
        <w:t>utton functionality</w:t>
      </w:r>
      <w:r>
        <w:rPr>
          <w:rFonts w:ascii="Arial" w:hAnsi="Arial" w:cs="Arial"/>
          <w:sz w:val="22"/>
          <w:szCs w:val="22"/>
        </w:rPr>
        <w:t xml:space="preserve"> that a CCP can use</w:t>
      </w:r>
      <w:r w:rsidRPr="00B40B4D">
        <w:rPr>
          <w:rFonts w:ascii="Arial" w:hAnsi="Arial" w:cs="Arial"/>
          <w:sz w:val="22"/>
          <w:szCs w:val="22"/>
        </w:rPr>
        <w:t xml:space="preserve"> to set </w:t>
      </w:r>
      <w:r>
        <w:rPr>
          <w:rFonts w:ascii="Arial" w:hAnsi="Arial" w:cs="Arial"/>
          <w:sz w:val="22"/>
          <w:szCs w:val="22"/>
        </w:rPr>
        <w:t xml:space="preserve">a </w:t>
      </w:r>
      <w:r w:rsidRPr="00B40B4D">
        <w:rPr>
          <w:rFonts w:ascii="Arial" w:hAnsi="Arial" w:cs="Arial"/>
          <w:sz w:val="22"/>
          <w:szCs w:val="22"/>
        </w:rPr>
        <w:t>member of CSDs</w:t>
      </w:r>
      <w:r>
        <w:rPr>
          <w:rFonts w:ascii="Arial" w:hAnsi="Arial" w:cs="Arial"/>
          <w:sz w:val="22"/>
          <w:szCs w:val="22"/>
        </w:rPr>
        <w:t>/TVs</w:t>
      </w:r>
      <w:r w:rsidRPr="00B40B4D">
        <w:rPr>
          <w:rFonts w:ascii="Arial" w:hAnsi="Arial" w:cs="Arial"/>
          <w:sz w:val="22"/>
          <w:szCs w:val="22"/>
        </w:rPr>
        <w:t xml:space="preserve"> on hold </w:t>
      </w:r>
      <w:r>
        <w:rPr>
          <w:rFonts w:ascii="Arial" w:hAnsi="Arial" w:cs="Arial"/>
          <w:sz w:val="22"/>
          <w:szCs w:val="22"/>
        </w:rPr>
        <w:t>in certain cases,</w:t>
      </w:r>
      <w:r w:rsidRPr="00B40B4D">
        <w:rPr>
          <w:rFonts w:ascii="Arial" w:hAnsi="Arial" w:cs="Arial"/>
          <w:sz w:val="22"/>
          <w:szCs w:val="22"/>
        </w:rPr>
        <w:t xml:space="preserve"> e.g. in case of Default Management</w:t>
      </w:r>
      <w:r>
        <w:rPr>
          <w:rFonts w:ascii="Arial" w:hAnsi="Arial" w:cs="Arial"/>
          <w:sz w:val="22"/>
          <w:szCs w:val="22"/>
        </w:rPr>
        <w:t>. We point out that such functionality is vital for the processing in the case of a Clearing Me</w:t>
      </w:r>
      <w:r>
        <w:rPr>
          <w:rFonts w:ascii="Arial" w:hAnsi="Arial" w:cs="Arial"/>
          <w:sz w:val="22"/>
          <w:szCs w:val="22"/>
        </w:rPr>
        <w:t>m</w:t>
      </w:r>
      <w:r>
        <w:rPr>
          <w:rFonts w:ascii="Arial" w:hAnsi="Arial" w:cs="Arial"/>
          <w:sz w:val="22"/>
          <w:szCs w:val="22"/>
        </w:rPr>
        <w:t>ber Default.</w:t>
      </w:r>
    </w:p>
    <w:p w:rsidR="000B3D0D" w:rsidRPr="00B40B4D" w:rsidRDefault="000B3D0D" w:rsidP="000B3D0D">
      <w:pPr>
        <w:pStyle w:val="ListParagraph"/>
        <w:numPr>
          <w:ilvl w:val="0"/>
          <w:numId w:val="42"/>
        </w:numPr>
        <w:ind w:left="709" w:hanging="709"/>
        <w:rPr>
          <w:rFonts w:ascii="Arial" w:hAnsi="Arial" w:cs="Arial"/>
          <w:sz w:val="22"/>
          <w:szCs w:val="22"/>
        </w:rPr>
      </w:pPr>
      <w:r w:rsidRPr="00B40B4D">
        <w:rPr>
          <w:rFonts w:ascii="Arial" w:hAnsi="Arial" w:cs="Arial"/>
          <w:sz w:val="22"/>
          <w:szCs w:val="22"/>
        </w:rPr>
        <w:t xml:space="preserve">Price Quality Checks </w:t>
      </w:r>
      <w:r>
        <w:rPr>
          <w:rFonts w:ascii="Arial" w:hAnsi="Arial" w:cs="Arial"/>
          <w:sz w:val="22"/>
          <w:szCs w:val="22"/>
        </w:rPr>
        <w:t xml:space="preserve">are necessary to </w:t>
      </w:r>
      <w:r w:rsidRPr="00B40B4D">
        <w:rPr>
          <w:rFonts w:ascii="Arial" w:hAnsi="Arial" w:cs="Arial"/>
          <w:sz w:val="22"/>
          <w:szCs w:val="22"/>
        </w:rPr>
        <w:t>ensure the quality of the settlement price and intraday prices</w:t>
      </w:r>
      <w:r>
        <w:rPr>
          <w:rFonts w:ascii="Arial" w:hAnsi="Arial" w:cs="Arial"/>
          <w:sz w:val="22"/>
          <w:szCs w:val="22"/>
        </w:rPr>
        <w:t>. We also highlight that the CSD should be required to provide evidence of the reliability of the prices that a CSD charges.</w:t>
      </w:r>
    </w:p>
    <w:p w:rsidR="000B3D0D" w:rsidRPr="00B40B4D" w:rsidRDefault="000B3D0D" w:rsidP="000B3D0D">
      <w:pPr>
        <w:pStyle w:val="ListParagraph"/>
        <w:numPr>
          <w:ilvl w:val="0"/>
          <w:numId w:val="42"/>
        </w:numPr>
        <w:ind w:left="709" w:hanging="709"/>
        <w:rPr>
          <w:rFonts w:ascii="Arial" w:hAnsi="Arial" w:cs="Arial"/>
          <w:sz w:val="22"/>
          <w:szCs w:val="22"/>
        </w:rPr>
      </w:pPr>
      <w:r>
        <w:rPr>
          <w:rFonts w:ascii="Arial" w:hAnsi="Arial" w:cs="Arial"/>
          <w:sz w:val="22"/>
          <w:szCs w:val="22"/>
        </w:rPr>
        <w:t>For the a</w:t>
      </w:r>
      <w:r w:rsidRPr="00B40B4D">
        <w:rPr>
          <w:rFonts w:ascii="Arial" w:hAnsi="Arial" w:cs="Arial"/>
          <w:sz w:val="22"/>
          <w:szCs w:val="22"/>
        </w:rPr>
        <w:t xml:space="preserve">dmission of new </w:t>
      </w:r>
      <w:r>
        <w:rPr>
          <w:rFonts w:ascii="Arial" w:hAnsi="Arial" w:cs="Arial"/>
          <w:sz w:val="22"/>
          <w:szCs w:val="22"/>
        </w:rPr>
        <w:t>p</w:t>
      </w:r>
      <w:r w:rsidRPr="00B40B4D">
        <w:rPr>
          <w:rFonts w:ascii="Arial" w:hAnsi="Arial" w:cs="Arial"/>
          <w:sz w:val="22"/>
          <w:szCs w:val="22"/>
        </w:rPr>
        <w:t xml:space="preserve">roducts </w:t>
      </w:r>
      <w:r>
        <w:rPr>
          <w:rFonts w:ascii="Arial" w:hAnsi="Arial" w:cs="Arial"/>
          <w:sz w:val="22"/>
          <w:szCs w:val="22"/>
        </w:rPr>
        <w:t>the</w:t>
      </w:r>
      <w:r w:rsidRPr="00B40B4D">
        <w:rPr>
          <w:rFonts w:ascii="Arial" w:hAnsi="Arial" w:cs="Arial"/>
          <w:sz w:val="22"/>
          <w:szCs w:val="22"/>
        </w:rPr>
        <w:t xml:space="preserve"> CCP should be involved in </w:t>
      </w:r>
      <w:r>
        <w:rPr>
          <w:rFonts w:ascii="Arial" w:hAnsi="Arial" w:cs="Arial"/>
          <w:sz w:val="22"/>
          <w:szCs w:val="22"/>
        </w:rPr>
        <w:t xml:space="preserve">the </w:t>
      </w:r>
      <w:r w:rsidRPr="00B40B4D">
        <w:rPr>
          <w:rFonts w:ascii="Arial" w:hAnsi="Arial" w:cs="Arial"/>
          <w:sz w:val="22"/>
          <w:szCs w:val="22"/>
        </w:rPr>
        <w:t>decision process. Specifically, elements of New Product Process should be aligned between CSDs</w:t>
      </w:r>
      <w:r>
        <w:rPr>
          <w:rFonts w:ascii="Arial" w:hAnsi="Arial" w:cs="Arial"/>
          <w:sz w:val="22"/>
          <w:szCs w:val="22"/>
        </w:rPr>
        <w:t>/TVs</w:t>
      </w:r>
      <w:r w:rsidRPr="00B40B4D">
        <w:rPr>
          <w:rFonts w:ascii="Arial" w:hAnsi="Arial" w:cs="Arial"/>
          <w:sz w:val="22"/>
          <w:szCs w:val="22"/>
        </w:rPr>
        <w:t xml:space="preserve"> and CCP</w:t>
      </w:r>
      <w:r>
        <w:rPr>
          <w:rFonts w:ascii="Arial" w:hAnsi="Arial" w:cs="Arial"/>
          <w:sz w:val="22"/>
          <w:szCs w:val="22"/>
        </w:rPr>
        <w:t xml:space="preserve">. For instance the </w:t>
      </w:r>
      <w:r w:rsidRPr="00B40B4D">
        <w:rPr>
          <w:rFonts w:ascii="Arial" w:hAnsi="Arial" w:cs="Arial"/>
          <w:sz w:val="22"/>
          <w:szCs w:val="22"/>
        </w:rPr>
        <w:t xml:space="preserve">availability of sufficient price history, </w:t>
      </w:r>
      <w:r>
        <w:rPr>
          <w:rFonts w:ascii="Arial" w:hAnsi="Arial" w:cs="Arial"/>
          <w:sz w:val="22"/>
          <w:szCs w:val="22"/>
        </w:rPr>
        <w:t xml:space="preserve">the </w:t>
      </w:r>
      <w:r w:rsidRPr="00B40B4D">
        <w:rPr>
          <w:rFonts w:ascii="Arial" w:hAnsi="Arial" w:cs="Arial"/>
          <w:sz w:val="22"/>
          <w:szCs w:val="22"/>
        </w:rPr>
        <w:t xml:space="preserve">suitability of risk methodology to cover all relevant risk factors and </w:t>
      </w:r>
      <w:r>
        <w:rPr>
          <w:rFonts w:ascii="Arial" w:hAnsi="Arial" w:cs="Arial"/>
          <w:sz w:val="22"/>
          <w:szCs w:val="22"/>
        </w:rPr>
        <w:t xml:space="preserve">other </w:t>
      </w:r>
      <w:r w:rsidRPr="00B40B4D">
        <w:rPr>
          <w:rFonts w:ascii="Arial" w:hAnsi="Arial" w:cs="Arial"/>
          <w:sz w:val="22"/>
          <w:szCs w:val="22"/>
        </w:rPr>
        <w:t>special aspect</w:t>
      </w:r>
      <w:r>
        <w:rPr>
          <w:rFonts w:ascii="Arial" w:hAnsi="Arial" w:cs="Arial"/>
          <w:sz w:val="22"/>
          <w:szCs w:val="22"/>
        </w:rPr>
        <w:t>s</w:t>
      </w:r>
      <w:r w:rsidRPr="00B40B4D">
        <w:rPr>
          <w:rFonts w:ascii="Arial" w:hAnsi="Arial" w:cs="Arial"/>
          <w:sz w:val="22"/>
          <w:szCs w:val="22"/>
        </w:rPr>
        <w:t xml:space="preserve"> </w:t>
      </w:r>
      <w:r>
        <w:rPr>
          <w:rFonts w:ascii="Arial" w:hAnsi="Arial" w:cs="Arial"/>
          <w:sz w:val="22"/>
          <w:szCs w:val="22"/>
        </w:rPr>
        <w:t>such as the</w:t>
      </w:r>
      <w:r w:rsidRPr="00B40B4D">
        <w:rPr>
          <w:rFonts w:ascii="Arial" w:hAnsi="Arial" w:cs="Arial"/>
          <w:sz w:val="22"/>
          <w:szCs w:val="22"/>
        </w:rPr>
        <w:t xml:space="preserve"> l</w:t>
      </w:r>
      <w:r w:rsidRPr="00B40B4D">
        <w:rPr>
          <w:rFonts w:ascii="Arial" w:hAnsi="Arial" w:cs="Arial"/>
          <w:sz w:val="22"/>
          <w:szCs w:val="22"/>
        </w:rPr>
        <w:t>i</w:t>
      </w:r>
      <w:r w:rsidRPr="00B40B4D">
        <w:rPr>
          <w:rFonts w:ascii="Arial" w:hAnsi="Arial" w:cs="Arial"/>
          <w:sz w:val="22"/>
          <w:szCs w:val="22"/>
        </w:rPr>
        <w:t>quidity situation</w:t>
      </w:r>
      <w:r>
        <w:rPr>
          <w:rFonts w:ascii="Arial" w:hAnsi="Arial" w:cs="Arial"/>
          <w:sz w:val="22"/>
          <w:szCs w:val="22"/>
        </w:rPr>
        <w:t xml:space="preserve"> need to be sufficiently taken into account. The CSD should be required to disclose and align modifications of new products and services.</w:t>
      </w:r>
    </w:p>
    <w:p w:rsidR="000B3D0D" w:rsidRPr="00B40B4D" w:rsidRDefault="000B3D0D" w:rsidP="000B3D0D">
      <w:pPr>
        <w:pStyle w:val="ListParagraph"/>
        <w:numPr>
          <w:ilvl w:val="0"/>
          <w:numId w:val="42"/>
        </w:numPr>
        <w:ind w:left="709" w:hanging="709"/>
        <w:rPr>
          <w:rFonts w:ascii="Arial" w:hAnsi="Arial" w:cs="Arial"/>
          <w:sz w:val="22"/>
          <w:szCs w:val="22"/>
        </w:rPr>
      </w:pPr>
      <w:r>
        <w:rPr>
          <w:rFonts w:ascii="Arial" w:hAnsi="Arial" w:cs="Arial"/>
          <w:sz w:val="22"/>
          <w:szCs w:val="22"/>
        </w:rPr>
        <w:t>The CSD should maintain a r</w:t>
      </w:r>
      <w:r w:rsidRPr="00B40B4D">
        <w:rPr>
          <w:rFonts w:ascii="Arial" w:hAnsi="Arial" w:cs="Arial"/>
          <w:sz w:val="22"/>
          <w:szCs w:val="22"/>
        </w:rPr>
        <w:t xml:space="preserve">isk </w:t>
      </w:r>
      <w:r>
        <w:rPr>
          <w:rFonts w:ascii="Arial" w:hAnsi="Arial" w:cs="Arial"/>
          <w:sz w:val="22"/>
          <w:szCs w:val="22"/>
        </w:rPr>
        <w:t>m</w:t>
      </w:r>
      <w:r w:rsidRPr="00B40B4D">
        <w:rPr>
          <w:rFonts w:ascii="Arial" w:hAnsi="Arial" w:cs="Arial"/>
          <w:sz w:val="22"/>
          <w:szCs w:val="22"/>
        </w:rPr>
        <w:t>ethodology</w:t>
      </w:r>
      <w:r>
        <w:rPr>
          <w:rFonts w:ascii="Arial" w:hAnsi="Arial" w:cs="Arial"/>
          <w:sz w:val="22"/>
          <w:szCs w:val="22"/>
        </w:rPr>
        <w:t xml:space="preserve"> that is in line with the </w:t>
      </w:r>
      <w:r w:rsidRPr="00B40B4D">
        <w:rPr>
          <w:rFonts w:ascii="Arial" w:hAnsi="Arial" w:cs="Arial"/>
          <w:sz w:val="22"/>
          <w:szCs w:val="22"/>
        </w:rPr>
        <w:t xml:space="preserve">CCP analysis of </w:t>
      </w:r>
      <w:r>
        <w:rPr>
          <w:rFonts w:ascii="Arial" w:hAnsi="Arial" w:cs="Arial"/>
          <w:sz w:val="22"/>
          <w:szCs w:val="22"/>
        </w:rPr>
        <w:t xml:space="preserve">the </w:t>
      </w:r>
      <w:r w:rsidRPr="00B40B4D">
        <w:rPr>
          <w:rFonts w:ascii="Arial" w:hAnsi="Arial" w:cs="Arial"/>
          <w:sz w:val="22"/>
          <w:szCs w:val="22"/>
        </w:rPr>
        <w:t>risk profile for the products/CSDs</w:t>
      </w:r>
      <w:r>
        <w:rPr>
          <w:rFonts w:ascii="Arial" w:hAnsi="Arial" w:cs="Arial"/>
          <w:sz w:val="22"/>
          <w:szCs w:val="22"/>
        </w:rPr>
        <w:t>/TVs</w:t>
      </w:r>
      <w:r w:rsidRPr="00B40B4D">
        <w:rPr>
          <w:rFonts w:ascii="Arial" w:hAnsi="Arial" w:cs="Arial"/>
          <w:sz w:val="22"/>
          <w:szCs w:val="22"/>
        </w:rPr>
        <w:t xml:space="preserve"> in question</w:t>
      </w:r>
      <w:r>
        <w:rPr>
          <w:rFonts w:ascii="Arial" w:hAnsi="Arial" w:cs="Arial"/>
          <w:sz w:val="22"/>
          <w:szCs w:val="22"/>
        </w:rPr>
        <w:t>. For example,</w:t>
      </w:r>
      <w:r w:rsidRPr="00E64D5E">
        <w:rPr>
          <w:rFonts w:ascii="Arial" w:hAnsi="Arial" w:cs="Arial"/>
          <w:sz w:val="22"/>
          <w:szCs w:val="22"/>
        </w:rPr>
        <w:t xml:space="preserve"> </w:t>
      </w:r>
      <w:r>
        <w:rPr>
          <w:rFonts w:ascii="Arial" w:hAnsi="Arial" w:cs="Arial"/>
          <w:sz w:val="22"/>
          <w:szCs w:val="22"/>
        </w:rPr>
        <w:t xml:space="preserve">the CCP and the CSD should not have a contradicting approach in </w:t>
      </w:r>
      <w:r w:rsidRPr="00E64D5E">
        <w:rPr>
          <w:rFonts w:ascii="Arial" w:hAnsi="Arial" w:cs="Arial"/>
          <w:sz w:val="22"/>
          <w:szCs w:val="22"/>
        </w:rPr>
        <w:t>setting risk param</w:t>
      </w:r>
      <w:r>
        <w:rPr>
          <w:rFonts w:ascii="Arial" w:hAnsi="Arial" w:cs="Arial"/>
          <w:sz w:val="22"/>
          <w:szCs w:val="22"/>
        </w:rPr>
        <w:t>eters, attributing to specific l</w:t>
      </w:r>
      <w:r w:rsidRPr="00E64D5E">
        <w:rPr>
          <w:rFonts w:ascii="Arial" w:hAnsi="Arial" w:cs="Arial"/>
          <w:sz w:val="22"/>
          <w:szCs w:val="22"/>
        </w:rPr>
        <w:t xml:space="preserve">iquidation </w:t>
      </w:r>
      <w:r>
        <w:rPr>
          <w:rFonts w:ascii="Arial" w:hAnsi="Arial" w:cs="Arial"/>
          <w:sz w:val="22"/>
          <w:szCs w:val="22"/>
        </w:rPr>
        <w:t>g</w:t>
      </w:r>
      <w:r w:rsidRPr="00E64D5E">
        <w:rPr>
          <w:rFonts w:ascii="Arial" w:hAnsi="Arial" w:cs="Arial"/>
          <w:sz w:val="22"/>
          <w:szCs w:val="22"/>
        </w:rPr>
        <w:t>roup</w:t>
      </w:r>
      <w:r>
        <w:rPr>
          <w:rFonts w:ascii="Arial" w:hAnsi="Arial" w:cs="Arial"/>
          <w:sz w:val="22"/>
          <w:szCs w:val="22"/>
        </w:rPr>
        <w:t>s</w:t>
      </w:r>
      <w:r w:rsidRPr="00E64D5E">
        <w:rPr>
          <w:rFonts w:ascii="Arial" w:hAnsi="Arial" w:cs="Arial"/>
          <w:sz w:val="22"/>
          <w:szCs w:val="22"/>
        </w:rPr>
        <w:t xml:space="preserve">, </w:t>
      </w:r>
      <w:r>
        <w:rPr>
          <w:rFonts w:ascii="Arial" w:hAnsi="Arial" w:cs="Arial"/>
          <w:sz w:val="22"/>
          <w:szCs w:val="22"/>
        </w:rPr>
        <w:t>calculating p</w:t>
      </w:r>
      <w:r w:rsidRPr="00E64D5E">
        <w:rPr>
          <w:rFonts w:ascii="Arial" w:hAnsi="Arial" w:cs="Arial"/>
          <w:sz w:val="22"/>
          <w:szCs w:val="22"/>
        </w:rPr>
        <w:t>ortfolio offsets</w:t>
      </w:r>
      <w:r>
        <w:rPr>
          <w:rFonts w:ascii="Arial" w:hAnsi="Arial" w:cs="Arial"/>
          <w:sz w:val="22"/>
          <w:szCs w:val="22"/>
        </w:rPr>
        <w:t xml:space="preserve">, </w:t>
      </w:r>
      <w:r w:rsidRPr="00E64D5E">
        <w:rPr>
          <w:rFonts w:ascii="Arial" w:hAnsi="Arial" w:cs="Arial"/>
          <w:sz w:val="22"/>
          <w:szCs w:val="22"/>
        </w:rPr>
        <w:t>considering potential basis risk</w:t>
      </w:r>
      <w:r>
        <w:rPr>
          <w:rFonts w:ascii="Arial" w:hAnsi="Arial" w:cs="Arial"/>
          <w:sz w:val="22"/>
          <w:szCs w:val="22"/>
        </w:rPr>
        <w:t xml:space="preserve"> in a portf</w:t>
      </w:r>
      <w:r>
        <w:rPr>
          <w:rFonts w:ascii="Arial" w:hAnsi="Arial" w:cs="Arial"/>
          <w:sz w:val="22"/>
          <w:szCs w:val="22"/>
        </w:rPr>
        <w:t>o</w:t>
      </w:r>
      <w:r>
        <w:rPr>
          <w:rFonts w:ascii="Arial" w:hAnsi="Arial" w:cs="Arial"/>
          <w:sz w:val="22"/>
          <w:szCs w:val="22"/>
        </w:rPr>
        <w:t>lio</w:t>
      </w:r>
      <w:r w:rsidRPr="00E64D5E">
        <w:rPr>
          <w:rFonts w:ascii="Arial" w:hAnsi="Arial" w:cs="Arial"/>
          <w:sz w:val="22"/>
          <w:szCs w:val="22"/>
        </w:rPr>
        <w:t xml:space="preserve"> and </w:t>
      </w:r>
      <w:r>
        <w:rPr>
          <w:rFonts w:ascii="Arial" w:hAnsi="Arial" w:cs="Arial"/>
          <w:sz w:val="22"/>
          <w:szCs w:val="22"/>
        </w:rPr>
        <w:t>determining m</w:t>
      </w:r>
      <w:r w:rsidRPr="00E64D5E">
        <w:rPr>
          <w:rFonts w:ascii="Arial" w:hAnsi="Arial" w:cs="Arial"/>
          <w:sz w:val="22"/>
          <w:szCs w:val="22"/>
        </w:rPr>
        <w:t xml:space="preserve">argin </w:t>
      </w:r>
      <w:r>
        <w:rPr>
          <w:rFonts w:ascii="Arial" w:hAnsi="Arial" w:cs="Arial"/>
          <w:sz w:val="22"/>
          <w:szCs w:val="22"/>
        </w:rPr>
        <w:t>a</w:t>
      </w:r>
      <w:r w:rsidRPr="00E64D5E">
        <w:rPr>
          <w:rFonts w:ascii="Arial" w:hAnsi="Arial" w:cs="Arial"/>
          <w:sz w:val="22"/>
          <w:szCs w:val="22"/>
        </w:rPr>
        <w:t>dd</w:t>
      </w:r>
      <w:r>
        <w:rPr>
          <w:rFonts w:ascii="Arial" w:hAnsi="Arial" w:cs="Arial"/>
          <w:sz w:val="22"/>
          <w:szCs w:val="22"/>
        </w:rPr>
        <w:t>-</w:t>
      </w:r>
      <w:r w:rsidRPr="00E64D5E">
        <w:rPr>
          <w:rFonts w:ascii="Arial" w:hAnsi="Arial" w:cs="Arial"/>
          <w:sz w:val="22"/>
          <w:szCs w:val="22"/>
        </w:rPr>
        <w:t>ons</w:t>
      </w:r>
      <w:r>
        <w:rPr>
          <w:rFonts w:ascii="Arial" w:hAnsi="Arial" w:cs="Arial"/>
          <w:sz w:val="22"/>
          <w:szCs w:val="22"/>
        </w:rPr>
        <w:t>.</w:t>
      </w:r>
    </w:p>
    <w:p w:rsidR="000B3D0D" w:rsidRPr="00B40B4D" w:rsidRDefault="000B3D0D" w:rsidP="000B3D0D">
      <w:pPr>
        <w:pStyle w:val="ListParagraph"/>
        <w:numPr>
          <w:ilvl w:val="0"/>
          <w:numId w:val="42"/>
        </w:numPr>
        <w:ind w:left="709" w:hanging="709"/>
        <w:rPr>
          <w:rFonts w:ascii="Arial" w:hAnsi="Arial" w:cs="Arial"/>
          <w:sz w:val="22"/>
          <w:szCs w:val="22"/>
        </w:rPr>
      </w:pPr>
      <w:r>
        <w:rPr>
          <w:rFonts w:ascii="Arial" w:hAnsi="Arial" w:cs="Arial"/>
          <w:sz w:val="22"/>
          <w:szCs w:val="22"/>
        </w:rPr>
        <w:t>For the D</w:t>
      </w:r>
      <w:r w:rsidRPr="00B40B4D">
        <w:rPr>
          <w:rFonts w:ascii="Arial" w:hAnsi="Arial" w:cs="Arial"/>
          <w:sz w:val="22"/>
          <w:szCs w:val="22"/>
        </w:rPr>
        <w:t>efault Managemen</w:t>
      </w:r>
      <w:r>
        <w:rPr>
          <w:rFonts w:ascii="Arial" w:hAnsi="Arial" w:cs="Arial"/>
          <w:sz w:val="22"/>
          <w:szCs w:val="22"/>
        </w:rPr>
        <w:t xml:space="preserve">t, </w:t>
      </w:r>
      <w:r w:rsidRPr="00B40B4D">
        <w:rPr>
          <w:rFonts w:ascii="Arial" w:hAnsi="Arial" w:cs="Arial"/>
          <w:sz w:val="22"/>
          <w:szCs w:val="22"/>
        </w:rPr>
        <w:t xml:space="preserve">CCPs need </w:t>
      </w:r>
      <w:r>
        <w:rPr>
          <w:rFonts w:ascii="Arial" w:hAnsi="Arial" w:cs="Arial"/>
          <w:sz w:val="22"/>
          <w:szCs w:val="22"/>
        </w:rPr>
        <w:t xml:space="preserve">an </w:t>
      </w:r>
      <w:r w:rsidRPr="00B40B4D">
        <w:rPr>
          <w:rFonts w:ascii="Arial" w:hAnsi="Arial" w:cs="Arial"/>
          <w:sz w:val="22"/>
          <w:szCs w:val="22"/>
        </w:rPr>
        <w:t>access to CSDs</w:t>
      </w:r>
      <w:r>
        <w:rPr>
          <w:rFonts w:ascii="Arial" w:hAnsi="Arial" w:cs="Arial"/>
          <w:sz w:val="22"/>
          <w:szCs w:val="22"/>
        </w:rPr>
        <w:t>/TVs</w:t>
      </w:r>
      <w:r w:rsidRPr="00B40B4D">
        <w:rPr>
          <w:rFonts w:ascii="Arial" w:hAnsi="Arial" w:cs="Arial"/>
          <w:sz w:val="22"/>
          <w:szCs w:val="22"/>
        </w:rPr>
        <w:t xml:space="preserve"> </w:t>
      </w:r>
      <w:r>
        <w:rPr>
          <w:rFonts w:ascii="Arial" w:hAnsi="Arial" w:cs="Arial"/>
          <w:sz w:val="22"/>
          <w:szCs w:val="22"/>
        </w:rPr>
        <w:t xml:space="preserve">that allows </w:t>
      </w:r>
      <w:r w:rsidRPr="00B40B4D">
        <w:rPr>
          <w:rFonts w:ascii="Arial" w:hAnsi="Arial" w:cs="Arial"/>
          <w:sz w:val="22"/>
          <w:szCs w:val="22"/>
        </w:rPr>
        <w:t>perform</w:t>
      </w:r>
      <w:r>
        <w:rPr>
          <w:rFonts w:ascii="Arial" w:hAnsi="Arial" w:cs="Arial"/>
          <w:sz w:val="22"/>
          <w:szCs w:val="22"/>
        </w:rPr>
        <w:t>ing a default management process as stated above.</w:t>
      </w:r>
      <w:r w:rsidRPr="00B40B4D">
        <w:rPr>
          <w:rFonts w:ascii="Arial" w:hAnsi="Arial" w:cs="Arial"/>
          <w:sz w:val="22"/>
          <w:szCs w:val="22"/>
        </w:rPr>
        <w:t xml:space="preserve"> </w:t>
      </w:r>
      <w:r>
        <w:rPr>
          <w:rFonts w:ascii="Arial" w:hAnsi="Arial" w:cs="Arial"/>
          <w:sz w:val="22"/>
          <w:szCs w:val="22"/>
        </w:rPr>
        <w:t xml:space="preserve">For instance, </w:t>
      </w:r>
      <w:r w:rsidRPr="00B40B4D">
        <w:rPr>
          <w:rFonts w:ascii="Arial" w:hAnsi="Arial" w:cs="Arial"/>
          <w:sz w:val="22"/>
          <w:szCs w:val="22"/>
        </w:rPr>
        <w:t>the access should be compatible with standard APIs</w:t>
      </w:r>
      <w:r>
        <w:rPr>
          <w:rFonts w:ascii="Arial" w:hAnsi="Arial" w:cs="Arial"/>
          <w:sz w:val="22"/>
          <w:szCs w:val="22"/>
        </w:rPr>
        <w:t xml:space="preserve"> and </w:t>
      </w:r>
      <w:r w:rsidRPr="00B40B4D">
        <w:rPr>
          <w:rFonts w:ascii="Arial" w:hAnsi="Arial" w:cs="Arial"/>
          <w:sz w:val="22"/>
          <w:szCs w:val="22"/>
        </w:rPr>
        <w:t xml:space="preserve">with </w:t>
      </w:r>
      <w:r>
        <w:rPr>
          <w:rFonts w:ascii="Arial" w:hAnsi="Arial" w:cs="Arial"/>
          <w:sz w:val="22"/>
          <w:szCs w:val="22"/>
        </w:rPr>
        <w:t xml:space="preserve">the </w:t>
      </w:r>
      <w:r w:rsidRPr="00B40B4D">
        <w:rPr>
          <w:rFonts w:ascii="Arial" w:hAnsi="Arial" w:cs="Arial"/>
          <w:sz w:val="22"/>
          <w:szCs w:val="22"/>
        </w:rPr>
        <w:t>auction format.</w:t>
      </w:r>
    </w:p>
    <w:p w:rsidR="000B3D0D" w:rsidRPr="00B40B4D" w:rsidRDefault="000B3D0D" w:rsidP="000B3D0D">
      <w:pPr>
        <w:pStyle w:val="ListParagraph"/>
        <w:numPr>
          <w:ilvl w:val="0"/>
          <w:numId w:val="42"/>
        </w:numPr>
        <w:ind w:left="709" w:hanging="709"/>
        <w:rPr>
          <w:rFonts w:ascii="Arial" w:hAnsi="Arial" w:cs="Arial"/>
          <w:sz w:val="22"/>
          <w:szCs w:val="22"/>
        </w:rPr>
      </w:pPr>
      <w:r>
        <w:rPr>
          <w:rFonts w:ascii="Arial" w:hAnsi="Arial" w:cs="Arial"/>
          <w:sz w:val="22"/>
          <w:szCs w:val="22"/>
        </w:rPr>
        <w:t>The CSD should not prevent the application of functionalities of c</w:t>
      </w:r>
      <w:r w:rsidRPr="00B40B4D">
        <w:rPr>
          <w:rFonts w:ascii="Arial" w:hAnsi="Arial" w:cs="Arial"/>
          <w:sz w:val="22"/>
          <w:szCs w:val="22"/>
        </w:rPr>
        <w:t xml:space="preserve">ontinuous </w:t>
      </w:r>
      <w:r>
        <w:rPr>
          <w:rFonts w:ascii="Arial" w:hAnsi="Arial" w:cs="Arial"/>
          <w:sz w:val="22"/>
          <w:szCs w:val="22"/>
        </w:rPr>
        <w:t>t</w:t>
      </w:r>
      <w:r w:rsidRPr="00B40B4D">
        <w:rPr>
          <w:rFonts w:ascii="Arial" w:hAnsi="Arial" w:cs="Arial"/>
          <w:sz w:val="22"/>
          <w:szCs w:val="22"/>
        </w:rPr>
        <w:t xml:space="preserve">rading </w:t>
      </w:r>
      <w:r>
        <w:rPr>
          <w:rFonts w:ascii="Arial" w:hAnsi="Arial" w:cs="Arial"/>
          <w:sz w:val="22"/>
          <w:szCs w:val="22"/>
        </w:rPr>
        <w:t>a</w:t>
      </w:r>
      <w:r w:rsidRPr="00B40B4D">
        <w:rPr>
          <w:rFonts w:ascii="Arial" w:hAnsi="Arial" w:cs="Arial"/>
          <w:sz w:val="22"/>
          <w:szCs w:val="22"/>
        </w:rPr>
        <w:t xml:space="preserve">nd </w:t>
      </w:r>
      <w:r>
        <w:rPr>
          <w:rFonts w:ascii="Arial" w:hAnsi="Arial" w:cs="Arial"/>
          <w:sz w:val="22"/>
          <w:szCs w:val="22"/>
        </w:rPr>
        <w:t>r</w:t>
      </w:r>
      <w:r w:rsidRPr="00B40B4D">
        <w:rPr>
          <w:rFonts w:ascii="Arial" w:hAnsi="Arial" w:cs="Arial"/>
          <w:sz w:val="22"/>
          <w:szCs w:val="22"/>
        </w:rPr>
        <w:t xml:space="preserve">isk </w:t>
      </w:r>
      <w:r>
        <w:rPr>
          <w:rFonts w:ascii="Arial" w:hAnsi="Arial" w:cs="Arial"/>
          <w:sz w:val="22"/>
          <w:szCs w:val="22"/>
        </w:rPr>
        <w:t>m</w:t>
      </w:r>
      <w:r w:rsidRPr="00B40B4D">
        <w:rPr>
          <w:rFonts w:ascii="Arial" w:hAnsi="Arial" w:cs="Arial"/>
          <w:sz w:val="22"/>
          <w:szCs w:val="22"/>
        </w:rPr>
        <w:t>anagement</w:t>
      </w:r>
      <w:r>
        <w:rPr>
          <w:rFonts w:ascii="Arial" w:hAnsi="Arial" w:cs="Arial"/>
          <w:sz w:val="22"/>
          <w:szCs w:val="22"/>
        </w:rPr>
        <w:t xml:space="preserve"> on CCP level. For instance, in cases of volatility the CCP needs to be able to interrupt clearing services and all further processing instantly with a circuit brea</w:t>
      </w:r>
      <w:r>
        <w:rPr>
          <w:rFonts w:ascii="Arial" w:hAnsi="Arial" w:cs="Arial"/>
          <w:sz w:val="22"/>
          <w:szCs w:val="22"/>
        </w:rPr>
        <w:t>k</w:t>
      </w:r>
      <w:r>
        <w:rPr>
          <w:rFonts w:ascii="Arial" w:hAnsi="Arial" w:cs="Arial"/>
          <w:sz w:val="22"/>
          <w:szCs w:val="22"/>
        </w:rPr>
        <w:t>er feature. The CSD should also be required to provide the CCP with the safety that the CCP can use its m</w:t>
      </w:r>
      <w:r w:rsidRPr="00B40B4D">
        <w:rPr>
          <w:rFonts w:ascii="Arial" w:hAnsi="Arial" w:cs="Arial"/>
          <w:sz w:val="22"/>
          <w:szCs w:val="22"/>
        </w:rPr>
        <w:t xml:space="preserve">arket </w:t>
      </w:r>
      <w:r>
        <w:rPr>
          <w:rFonts w:ascii="Arial" w:hAnsi="Arial" w:cs="Arial"/>
          <w:sz w:val="22"/>
          <w:szCs w:val="22"/>
        </w:rPr>
        <w:t>m</w:t>
      </w:r>
      <w:r w:rsidRPr="00B40B4D">
        <w:rPr>
          <w:rFonts w:ascii="Arial" w:hAnsi="Arial" w:cs="Arial"/>
          <w:sz w:val="22"/>
          <w:szCs w:val="22"/>
        </w:rPr>
        <w:t>aker protection functionality</w:t>
      </w:r>
      <w:r>
        <w:rPr>
          <w:rFonts w:ascii="Arial" w:hAnsi="Arial" w:cs="Arial"/>
          <w:sz w:val="22"/>
          <w:szCs w:val="22"/>
        </w:rPr>
        <w:t xml:space="preserve"> to the full extent.</w:t>
      </w:r>
    </w:p>
    <w:p w:rsidR="000B3D0D" w:rsidRPr="00B40B4D" w:rsidRDefault="000B3D0D" w:rsidP="000B3D0D">
      <w:pPr>
        <w:pStyle w:val="ListParagraph"/>
        <w:numPr>
          <w:ilvl w:val="0"/>
          <w:numId w:val="42"/>
        </w:numPr>
        <w:ind w:left="709" w:hanging="709"/>
        <w:rPr>
          <w:rFonts w:ascii="Arial" w:hAnsi="Arial" w:cs="Arial"/>
          <w:sz w:val="22"/>
          <w:szCs w:val="22"/>
        </w:rPr>
      </w:pPr>
      <w:r w:rsidRPr="00B40B4D">
        <w:rPr>
          <w:rFonts w:ascii="Arial" w:hAnsi="Arial" w:cs="Arial"/>
          <w:sz w:val="22"/>
          <w:szCs w:val="22"/>
        </w:rPr>
        <w:t>CSDs (in a role as settlement location) should adhere to high standards of reliability to allow smooth processing also on CCP side from operational risk perspective.</w:t>
      </w:r>
    </w:p>
    <w:p w:rsidR="000B3D0D" w:rsidRDefault="000B3D0D" w:rsidP="000B3D0D">
      <w:pPr>
        <w:pStyle w:val="ListParagraph"/>
        <w:numPr>
          <w:ilvl w:val="0"/>
          <w:numId w:val="42"/>
        </w:numPr>
        <w:ind w:left="709" w:hanging="709"/>
        <w:rPr>
          <w:rFonts w:ascii="Arial" w:hAnsi="Arial" w:cs="Arial"/>
          <w:sz w:val="22"/>
          <w:szCs w:val="22"/>
        </w:rPr>
      </w:pPr>
      <w:r w:rsidRPr="00B40B4D">
        <w:rPr>
          <w:rFonts w:ascii="Arial" w:hAnsi="Arial" w:cs="Arial"/>
          <w:sz w:val="22"/>
          <w:szCs w:val="22"/>
        </w:rPr>
        <w:t>CSDs (in a role as collateral location) should be compatible with CCP’s monitoring and enforcement of Credit, Concentrations- and Wrong-Way Risks, and compatible to colla</w:t>
      </w:r>
      <w:r w:rsidRPr="00B40B4D">
        <w:rPr>
          <w:rFonts w:ascii="Arial" w:hAnsi="Arial" w:cs="Arial"/>
          <w:sz w:val="22"/>
          <w:szCs w:val="22"/>
        </w:rPr>
        <w:t>t</w:t>
      </w:r>
      <w:r w:rsidRPr="00B40B4D">
        <w:rPr>
          <w:rFonts w:ascii="Arial" w:hAnsi="Arial" w:cs="Arial"/>
          <w:sz w:val="22"/>
          <w:szCs w:val="22"/>
        </w:rPr>
        <w:t>eral eligibility rules set by CCP. Legal Accessibility to securities collateral by CCP should be ensured in case of CSD default.</w:t>
      </w:r>
    </w:p>
    <w:p w:rsidR="000B3D0D" w:rsidRDefault="000B3D0D" w:rsidP="000B3D0D">
      <w:pPr>
        <w:pStyle w:val="ListParagraph"/>
        <w:numPr>
          <w:ilvl w:val="0"/>
          <w:numId w:val="42"/>
        </w:numPr>
        <w:ind w:left="709" w:hanging="709"/>
        <w:rPr>
          <w:rFonts w:ascii="Arial" w:hAnsi="Arial" w:cs="Arial"/>
          <w:sz w:val="22"/>
          <w:szCs w:val="22"/>
        </w:rPr>
      </w:pPr>
      <w:r>
        <w:rPr>
          <w:rFonts w:ascii="Arial" w:hAnsi="Arial" w:cs="Arial"/>
          <w:sz w:val="22"/>
          <w:szCs w:val="22"/>
        </w:rPr>
        <w:t>The CSD should not force</w:t>
      </w:r>
      <w:r w:rsidRPr="009C1C90">
        <w:rPr>
          <w:rFonts w:ascii="Arial" w:hAnsi="Arial" w:cs="Arial"/>
          <w:sz w:val="22"/>
          <w:szCs w:val="22"/>
        </w:rPr>
        <w:t xml:space="preserve"> </w:t>
      </w:r>
      <w:r>
        <w:rPr>
          <w:rFonts w:ascii="Arial" w:hAnsi="Arial" w:cs="Arial"/>
          <w:sz w:val="22"/>
          <w:szCs w:val="22"/>
        </w:rPr>
        <w:t xml:space="preserve">CCPs </w:t>
      </w:r>
      <w:r w:rsidRPr="009C1C90">
        <w:rPr>
          <w:rFonts w:ascii="Arial" w:hAnsi="Arial" w:cs="Arial"/>
          <w:sz w:val="22"/>
          <w:szCs w:val="22"/>
        </w:rPr>
        <w:t>to file an application for a service extension pursuant to Article 14 EMIR</w:t>
      </w:r>
      <w:r>
        <w:rPr>
          <w:rFonts w:ascii="Arial" w:hAnsi="Arial" w:cs="Arial"/>
          <w:sz w:val="22"/>
          <w:szCs w:val="22"/>
        </w:rPr>
        <w:t>. Hence, the CCP should be able to dismiss requests of CSDs if the CCP considers that these would lead to major changes in the existing service offering.</w:t>
      </w:r>
    </w:p>
    <w:p w:rsidR="000B3D0D" w:rsidRDefault="000B3D0D" w:rsidP="000B3D0D">
      <w:pPr>
        <w:pStyle w:val="ListParagraph"/>
        <w:numPr>
          <w:ilvl w:val="0"/>
          <w:numId w:val="42"/>
        </w:numPr>
        <w:ind w:left="709" w:hanging="709"/>
        <w:rPr>
          <w:rFonts w:ascii="Arial" w:hAnsi="Arial" w:cs="Arial"/>
          <w:sz w:val="22"/>
          <w:szCs w:val="22"/>
        </w:rPr>
      </w:pPr>
      <w:r w:rsidRPr="00A75F4C">
        <w:rPr>
          <w:rFonts w:ascii="Arial" w:hAnsi="Arial" w:cs="Arial"/>
          <w:sz w:val="22"/>
          <w:szCs w:val="22"/>
        </w:rPr>
        <w:t>Besides the operational risk assessment, a CSD request</w:t>
      </w:r>
      <w:r>
        <w:rPr>
          <w:rFonts w:ascii="Arial" w:hAnsi="Arial" w:cs="Arial"/>
          <w:sz w:val="22"/>
          <w:szCs w:val="22"/>
        </w:rPr>
        <w:t>ing</w:t>
      </w:r>
      <w:r w:rsidRPr="00A75F4C">
        <w:rPr>
          <w:rFonts w:ascii="Arial" w:hAnsi="Arial" w:cs="Arial"/>
          <w:sz w:val="22"/>
          <w:szCs w:val="22"/>
        </w:rPr>
        <w:t xml:space="preserve"> access to the trading feed of </w:t>
      </w:r>
      <w:r>
        <w:rPr>
          <w:rFonts w:ascii="Arial" w:hAnsi="Arial" w:cs="Arial"/>
          <w:sz w:val="22"/>
          <w:szCs w:val="22"/>
        </w:rPr>
        <w:t>a CCP</w:t>
      </w:r>
      <w:r w:rsidRPr="00A75F4C">
        <w:rPr>
          <w:rFonts w:ascii="Arial" w:hAnsi="Arial" w:cs="Arial"/>
          <w:sz w:val="22"/>
          <w:szCs w:val="22"/>
        </w:rPr>
        <w:t xml:space="preserve"> shall also comply with the technical and functional requirements established by the CCP. </w:t>
      </w:r>
      <w:r>
        <w:rPr>
          <w:rFonts w:ascii="Arial" w:hAnsi="Arial" w:cs="Arial"/>
          <w:sz w:val="22"/>
          <w:szCs w:val="22"/>
        </w:rPr>
        <w:t>This is necessary to enable the CCP to assess if a reliable technical connectiv</w:t>
      </w:r>
      <w:r>
        <w:rPr>
          <w:rFonts w:ascii="Arial" w:hAnsi="Arial" w:cs="Arial"/>
          <w:sz w:val="22"/>
          <w:szCs w:val="22"/>
        </w:rPr>
        <w:t>i</w:t>
      </w:r>
      <w:r>
        <w:rPr>
          <w:rFonts w:ascii="Arial" w:hAnsi="Arial" w:cs="Arial"/>
          <w:sz w:val="22"/>
          <w:szCs w:val="22"/>
        </w:rPr>
        <w:t>ty is available to the CSD. Such operational prerequisites include</w:t>
      </w:r>
      <w:r w:rsidRPr="00A75F4C">
        <w:rPr>
          <w:rFonts w:ascii="Arial" w:hAnsi="Arial" w:cs="Arial"/>
          <w:sz w:val="22"/>
          <w:szCs w:val="22"/>
        </w:rPr>
        <w:t xml:space="preserve"> the </w:t>
      </w:r>
      <w:r>
        <w:rPr>
          <w:rFonts w:ascii="Arial" w:hAnsi="Arial" w:cs="Arial"/>
          <w:sz w:val="22"/>
          <w:szCs w:val="22"/>
        </w:rPr>
        <w:t xml:space="preserve">CSD’s ability to </w:t>
      </w:r>
      <w:r w:rsidRPr="00A75F4C">
        <w:rPr>
          <w:rFonts w:ascii="Arial" w:hAnsi="Arial" w:cs="Arial"/>
          <w:sz w:val="22"/>
          <w:szCs w:val="22"/>
        </w:rPr>
        <w:t>se</w:t>
      </w:r>
      <w:r w:rsidRPr="00A75F4C">
        <w:rPr>
          <w:rFonts w:ascii="Arial" w:hAnsi="Arial" w:cs="Arial"/>
          <w:sz w:val="22"/>
          <w:szCs w:val="22"/>
        </w:rPr>
        <w:t>t</w:t>
      </w:r>
      <w:r w:rsidRPr="00A75F4C">
        <w:rPr>
          <w:rFonts w:ascii="Arial" w:hAnsi="Arial" w:cs="Arial"/>
          <w:sz w:val="22"/>
          <w:szCs w:val="22"/>
        </w:rPr>
        <w:t xml:space="preserve">tle the full scope of securities and </w:t>
      </w:r>
      <w:r>
        <w:rPr>
          <w:rFonts w:ascii="Arial" w:hAnsi="Arial" w:cs="Arial"/>
          <w:sz w:val="22"/>
          <w:szCs w:val="22"/>
        </w:rPr>
        <w:t xml:space="preserve">the access to the </w:t>
      </w:r>
      <w:r w:rsidRPr="00A75F4C">
        <w:rPr>
          <w:rFonts w:ascii="Arial" w:hAnsi="Arial" w:cs="Arial"/>
          <w:sz w:val="22"/>
          <w:szCs w:val="22"/>
        </w:rPr>
        <w:t>necessary payment infrastructure.</w:t>
      </w:r>
    </w:p>
    <w:p w:rsidR="000B3D0D" w:rsidRPr="00B40B4D" w:rsidRDefault="000B3D0D" w:rsidP="000B3D0D">
      <w:pPr>
        <w:pStyle w:val="ListParagraph"/>
        <w:numPr>
          <w:ilvl w:val="0"/>
          <w:numId w:val="42"/>
        </w:numPr>
        <w:ind w:left="709" w:hanging="709"/>
        <w:rPr>
          <w:rFonts w:ascii="Arial" w:hAnsi="Arial" w:cs="Arial"/>
          <w:sz w:val="22"/>
          <w:szCs w:val="22"/>
        </w:rPr>
      </w:pPr>
      <w:r w:rsidRPr="00A75F4C">
        <w:rPr>
          <w:rFonts w:ascii="Arial" w:hAnsi="Arial" w:cs="Arial"/>
          <w:sz w:val="22"/>
          <w:szCs w:val="22"/>
        </w:rPr>
        <w:t xml:space="preserve">Further considerations </w:t>
      </w:r>
      <w:r>
        <w:rPr>
          <w:rFonts w:ascii="Arial" w:hAnsi="Arial" w:cs="Arial"/>
          <w:sz w:val="22"/>
          <w:szCs w:val="22"/>
        </w:rPr>
        <w:t xml:space="preserve">are critical </w:t>
      </w:r>
      <w:r w:rsidRPr="00A75F4C">
        <w:rPr>
          <w:rFonts w:ascii="Arial" w:hAnsi="Arial" w:cs="Arial"/>
          <w:sz w:val="22"/>
          <w:szCs w:val="22"/>
        </w:rPr>
        <w:t xml:space="preserve">if the </w:t>
      </w:r>
      <w:r>
        <w:rPr>
          <w:rFonts w:ascii="Arial" w:hAnsi="Arial" w:cs="Arial"/>
          <w:sz w:val="22"/>
          <w:szCs w:val="22"/>
        </w:rPr>
        <w:t xml:space="preserve">CSD ask for </w:t>
      </w:r>
      <w:r w:rsidRPr="00A75F4C">
        <w:rPr>
          <w:rFonts w:ascii="Arial" w:hAnsi="Arial" w:cs="Arial"/>
          <w:sz w:val="22"/>
          <w:szCs w:val="22"/>
        </w:rPr>
        <w:t xml:space="preserve">access not only to the trading feed of a CCP but also to the collateral positions of a CCP. </w:t>
      </w:r>
      <w:r>
        <w:rPr>
          <w:rFonts w:ascii="Arial" w:hAnsi="Arial" w:cs="Arial"/>
          <w:sz w:val="22"/>
          <w:szCs w:val="22"/>
        </w:rPr>
        <w:t>If a CCP holds c</w:t>
      </w:r>
      <w:r w:rsidRPr="00A75F4C">
        <w:rPr>
          <w:rFonts w:ascii="Arial" w:hAnsi="Arial" w:cs="Arial"/>
          <w:sz w:val="22"/>
          <w:szCs w:val="22"/>
        </w:rPr>
        <w:t>ollateral for clearing purposes</w:t>
      </w:r>
      <w:r>
        <w:rPr>
          <w:rFonts w:ascii="Arial" w:hAnsi="Arial" w:cs="Arial"/>
          <w:sz w:val="22"/>
          <w:szCs w:val="22"/>
        </w:rPr>
        <w:t>, the CCP has to maintain the discretion to choose</w:t>
      </w:r>
      <w:r w:rsidRPr="00A75F4C">
        <w:rPr>
          <w:rFonts w:ascii="Arial" w:hAnsi="Arial" w:cs="Arial"/>
          <w:sz w:val="22"/>
          <w:szCs w:val="22"/>
        </w:rPr>
        <w:t xml:space="preserve"> eligible CSDs</w:t>
      </w:r>
      <w:r>
        <w:rPr>
          <w:rFonts w:ascii="Arial" w:hAnsi="Arial" w:cs="Arial"/>
          <w:sz w:val="22"/>
          <w:szCs w:val="22"/>
        </w:rPr>
        <w:t>.</w:t>
      </w:r>
    </w:p>
    <w:p w:rsidR="000B3D0D" w:rsidRDefault="000B3D0D" w:rsidP="000B3D0D">
      <w:pPr>
        <w:rPr>
          <w:rFonts w:ascii="Arial" w:hAnsi="Arial" w:cs="Arial"/>
          <w:sz w:val="22"/>
          <w:szCs w:val="22"/>
        </w:rPr>
      </w:pPr>
    </w:p>
    <w:p w:rsidR="000B3D0D" w:rsidRDefault="000B3D0D" w:rsidP="000B3D0D">
      <w:pPr>
        <w:rPr>
          <w:rFonts w:ascii="Arial" w:hAnsi="Arial" w:cs="Arial"/>
          <w:sz w:val="22"/>
          <w:szCs w:val="22"/>
        </w:rPr>
      </w:pPr>
      <w:r>
        <w:rPr>
          <w:rFonts w:ascii="Arial" w:hAnsi="Arial" w:cs="Arial"/>
          <w:sz w:val="22"/>
          <w:szCs w:val="22"/>
        </w:rPr>
        <w:t>We appreciate that the listed prerequisite for granting a CSD access to the transaction feeds of the CCP entails minimum standards only. Therefore the Guidelines should keep enumerating by opening a list with the phrase “that the competent authority should take into account at least the following criteria”. This will ensure that latest standards driven by the market or by regulatory requirements can be fully considered.</w:t>
      </w:r>
    </w:p>
    <w:p w:rsidR="00A35728" w:rsidRPr="00616B9B" w:rsidRDefault="00A35728" w:rsidP="00A35728">
      <w:pPr>
        <w:rPr>
          <w:rFonts w:ascii="Arial" w:hAnsi="Arial" w:cs="Arial"/>
          <w:sz w:val="22"/>
          <w:szCs w:val="22"/>
        </w:rPr>
      </w:pPr>
      <w:bookmarkStart w:id="3" w:name="_GoBack"/>
      <w:bookmarkEnd w:id="3"/>
    </w:p>
    <w:permEnd w:id="76481912"/>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5"/>
      <w:headerReference w:type="first" r:id="rId16"/>
      <w:footerReference w:type="first" r:id="rId17"/>
      <w:pgSz w:w="11906" w:h="16838" w:code="9"/>
      <w:pgMar w:top="2552"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D8" w:rsidRDefault="008D59D8">
      <w:r>
        <w:separator/>
      </w:r>
    </w:p>
    <w:p w:rsidR="008D59D8" w:rsidRDefault="008D59D8"/>
  </w:endnote>
  <w:endnote w:type="continuationSeparator" w:id="0">
    <w:p w:rsidR="008D59D8" w:rsidRDefault="008D59D8">
      <w:r>
        <w:continuationSeparator/>
      </w:r>
    </w:p>
    <w:p w:rsidR="008D59D8" w:rsidRDefault="008D59D8"/>
  </w:endnote>
  <w:endnote w:type="continuationNotice" w:id="1">
    <w:p w:rsidR="008D59D8" w:rsidRDefault="008D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ascii="Arial" w:hAnsi="Arial" w:cs="Arial"/>
              <w:sz w:val="22"/>
              <w:szCs w:val="22"/>
            </w:rPr>
          </w:pPr>
          <w:r w:rsidRPr="00616B9B">
            <w:rPr>
              <w:rFonts w:ascii="Arial" w:hAnsi="Arial" w:cs="Arial"/>
              <w:sz w:val="22"/>
              <w:szCs w:val="22"/>
            </w:rPr>
            <w:fldChar w:fldCharType="begin"/>
          </w:r>
          <w:r w:rsidRPr="00616B9B">
            <w:rPr>
              <w:rFonts w:ascii="Arial" w:hAnsi="Arial" w:cs="Arial"/>
              <w:sz w:val="22"/>
              <w:szCs w:val="22"/>
            </w:rPr>
            <w:instrText xml:space="preserve"> PAGE </w:instrText>
          </w:r>
          <w:r w:rsidRPr="00616B9B">
            <w:rPr>
              <w:rFonts w:ascii="Arial" w:hAnsi="Arial" w:cs="Arial"/>
              <w:sz w:val="22"/>
              <w:szCs w:val="22"/>
            </w:rPr>
            <w:fldChar w:fldCharType="separate"/>
          </w:r>
          <w:r w:rsidR="000B3D0D">
            <w:rPr>
              <w:rFonts w:ascii="Arial" w:hAnsi="Arial" w:cs="Arial"/>
              <w:noProof/>
              <w:sz w:val="22"/>
              <w:szCs w:val="22"/>
            </w:rPr>
            <w:t>5</w:t>
          </w:r>
          <w:r w:rsidRPr="00616B9B">
            <w:rPr>
              <w:rFonts w:ascii="Arial" w:hAnsi="Arial"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D8" w:rsidRDefault="008D59D8">
      <w:r>
        <w:separator/>
      </w:r>
    </w:p>
    <w:p w:rsidR="008D59D8" w:rsidRDefault="008D59D8"/>
  </w:footnote>
  <w:footnote w:type="continuationSeparator" w:id="0">
    <w:p w:rsidR="008D59D8" w:rsidRDefault="008D59D8">
      <w:r>
        <w:continuationSeparator/>
      </w:r>
    </w:p>
    <w:p w:rsidR="008D59D8" w:rsidRDefault="008D59D8"/>
  </w:footnote>
  <w:footnote w:type="continuationNotice" w:id="1">
    <w:p w:rsidR="008D59D8" w:rsidRDefault="008D5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pPr>
      <w:pStyle w:val="Header"/>
    </w:pPr>
    <w:r>
      <w:rPr>
        <w:noProof/>
        <w:lang w:val="en-US" w:eastAsia="en-US"/>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rsidP="00013CCE">
    <w:pPr>
      <w:pStyle w:val="Header"/>
      <w:jc w:val="right"/>
    </w:pPr>
    <w:r>
      <w:rPr>
        <w:noProof/>
        <w:lang w:val="en-US" w:eastAsia="en-US"/>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A0B7C">
    <w:pPr>
      <w:pStyle w:val="Header"/>
    </w:pPr>
    <w:r>
      <w:rPr>
        <w:noProof/>
        <w:lang w:val="en-US" w:eastAsia="en-US"/>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n-US" w:eastAsia="en-US"/>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CBE42E5"/>
    <w:multiLevelType w:val="hybridMultilevel"/>
    <w:tmpl w:val="131C84F8"/>
    <w:lvl w:ilvl="0" w:tplc="A65477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4">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8">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21"/>
  </w:num>
  <w:num w:numId="3">
    <w:abstractNumId w:val="14"/>
  </w:num>
  <w:num w:numId="4">
    <w:abstractNumId w:val="25"/>
  </w:num>
  <w:num w:numId="5">
    <w:abstractNumId w:val="3"/>
  </w:num>
  <w:num w:numId="6">
    <w:abstractNumId w:val="27"/>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24"/>
  </w:num>
  <w:num w:numId="16">
    <w:abstractNumId w:val="11"/>
  </w:num>
  <w:num w:numId="17">
    <w:abstractNumId w:val="1"/>
  </w:num>
  <w:num w:numId="18">
    <w:abstractNumId w:val="16"/>
  </w:num>
  <w:num w:numId="19">
    <w:abstractNumId w:val="17"/>
  </w:num>
  <w:num w:numId="20">
    <w:abstractNumId w:val="19"/>
  </w:num>
  <w:num w:numId="21">
    <w:abstractNumId w:val="28"/>
  </w:num>
  <w:num w:numId="22">
    <w:abstractNumId w:val="35"/>
  </w:num>
  <w:num w:numId="23">
    <w:abstractNumId w:val="26"/>
  </w:num>
  <w:num w:numId="24">
    <w:abstractNumId w:val="10"/>
  </w:num>
  <w:num w:numId="25">
    <w:abstractNumId w:val="31"/>
  </w:num>
  <w:num w:numId="26">
    <w:abstractNumId w:val="30"/>
  </w:num>
  <w:num w:numId="27">
    <w:abstractNumId w:val="22"/>
  </w:num>
  <w:num w:numId="28">
    <w:abstractNumId w:val="34"/>
  </w:num>
  <w:num w:numId="29">
    <w:abstractNumId w:val="37"/>
  </w:num>
  <w:num w:numId="30">
    <w:abstractNumId w:val="8"/>
  </w:num>
  <w:num w:numId="31">
    <w:abstractNumId w:val="4"/>
  </w:num>
  <w:num w:numId="32">
    <w:abstractNumId w:val="23"/>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3"/>
  </w:num>
  <w:num w:numId="3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5"/>
  </w:num>
  <w:num w:numId="42">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3D0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D78A1"/>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PlaceholderText"/>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PlaceholderText"/>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75"/>
    <w:rsid w:val="003F2705"/>
    <w:rsid w:val="00667475"/>
    <w:rsid w:val="00743CCF"/>
    <w:rsid w:val="008D1750"/>
    <w:rsid w:val="00955C34"/>
    <w:rsid w:val="00E12B84"/>
    <w:rsid w:val="00E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A3EC-2371-43CB-BED2-57D7409C80BC}">
  <ds:schemaRefs>
    <ds:schemaRef ds:uri="http://schemas.openxmlformats.org/officeDocument/2006/bibliography"/>
  </ds:schemaRefs>
</ds:datastoreItem>
</file>

<file path=customXml/itemProps2.xml><?xml version="1.0" encoding="utf-8"?>
<ds:datastoreItem xmlns:ds="http://schemas.openxmlformats.org/officeDocument/2006/customXml" ds:itemID="{C5CF3103-E293-4AF3-A6E1-15DDD0AC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6146</Characters>
  <Application>Microsoft Office Word</Application>
  <DocSecurity>8</DocSecurity>
  <Lines>51</Lines>
  <Paragraphs>14</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7304</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Ladon Patrick</cp:lastModifiedBy>
  <cp:revision>3</cp:revision>
  <cp:lastPrinted>2014-05-08T16:06:00Z</cp:lastPrinted>
  <dcterms:created xsi:type="dcterms:W3CDTF">2015-02-18T16:23:00Z</dcterms:created>
  <dcterms:modified xsi:type="dcterms:W3CDTF">2015-02-18T16:24:00Z</dcterms:modified>
</cp:coreProperties>
</file>