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D88FE" w14:textId="77777777" w:rsidR="002F73BB" w:rsidRPr="00112DBA" w:rsidRDefault="002F73BB" w:rsidP="002F73BB">
      <w:pPr>
        <w:rPr>
          <w:rFonts w:ascii="Arial" w:hAnsi="Arial" w:cs="Arial"/>
        </w:rPr>
      </w:pPr>
    </w:p>
    <w:p w14:paraId="3D4D5D0D" w14:textId="77777777" w:rsidR="002F73BB" w:rsidRDefault="002F73BB" w:rsidP="002F73BB">
      <w:pPr>
        <w:pStyle w:val="Title"/>
        <w:jc w:val="center"/>
        <w:rPr>
          <w:rFonts w:ascii="Arial" w:hAnsi="Arial" w:cs="Arial"/>
          <w:sz w:val="40"/>
        </w:rPr>
      </w:pPr>
    </w:p>
    <w:p w14:paraId="5BF7A153" w14:textId="77777777" w:rsidR="002F73BB" w:rsidRPr="008E66FF" w:rsidRDefault="002F73BB" w:rsidP="002F73BB">
      <w:pPr>
        <w:pStyle w:val="Title"/>
        <w:jc w:val="center"/>
        <w:rPr>
          <w:rStyle w:val="field-content"/>
          <w:rFonts w:ascii="Arial" w:hAnsi="Arial" w:cs="Arial"/>
          <w:b/>
          <w:sz w:val="36"/>
        </w:rPr>
      </w:pPr>
      <w:r w:rsidRPr="008E66FF">
        <w:rPr>
          <w:rStyle w:val="field-content"/>
          <w:rFonts w:ascii="Arial" w:hAnsi="Arial" w:cs="Arial"/>
          <w:b/>
          <w:sz w:val="36"/>
        </w:rPr>
        <w:t xml:space="preserve">CSD Register </w:t>
      </w:r>
    </w:p>
    <w:p w14:paraId="45F4D2AE" w14:textId="77777777" w:rsidR="002F73BB" w:rsidRPr="008E66FF" w:rsidRDefault="002F73BB" w:rsidP="002F73BB">
      <w:pPr>
        <w:pStyle w:val="Title"/>
        <w:jc w:val="center"/>
        <w:rPr>
          <w:rStyle w:val="field-content"/>
          <w:rFonts w:ascii="Arial" w:hAnsi="Arial" w:cs="Arial"/>
          <w:sz w:val="24"/>
        </w:rPr>
      </w:pPr>
      <w:r w:rsidRPr="008E66FF">
        <w:rPr>
          <w:rStyle w:val="field-content"/>
          <w:rFonts w:ascii="Arial" w:hAnsi="Arial" w:cs="Arial"/>
          <w:sz w:val="24"/>
        </w:rPr>
        <w:t>Article</w:t>
      </w:r>
      <w:r>
        <w:rPr>
          <w:rStyle w:val="field-content"/>
          <w:rFonts w:ascii="Arial" w:hAnsi="Arial" w:cs="Arial"/>
          <w:sz w:val="24"/>
        </w:rPr>
        <w:t>s</w:t>
      </w:r>
      <w:r w:rsidRPr="008E66FF">
        <w:rPr>
          <w:rStyle w:val="field-content"/>
          <w:rFonts w:ascii="Arial" w:hAnsi="Arial" w:cs="Arial"/>
          <w:sz w:val="24"/>
        </w:rPr>
        <w:t xml:space="preserve"> 21 </w:t>
      </w:r>
      <w:r>
        <w:rPr>
          <w:rStyle w:val="field-content"/>
          <w:rFonts w:ascii="Arial" w:hAnsi="Arial" w:cs="Arial"/>
          <w:sz w:val="24"/>
        </w:rPr>
        <w:t xml:space="preserve">and 58 </w:t>
      </w:r>
      <w:r w:rsidRPr="008E66FF">
        <w:rPr>
          <w:rStyle w:val="field-content"/>
          <w:rFonts w:ascii="Arial" w:hAnsi="Arial" w:cs="Arial"/>
          <w:sz w:val="24"/>
        </w:rPr>
        <w:t>of Regulation (EU) No 909/2014 (CSDR)</w:t>
      </w:r>
    </w:p>
    <w:p w14:paraId="5C433BC5" w14:textId="77777777" w:rsidR="002F73BB" w:rsidRPr="008E66FF" w:rsidRDefault="002F73BB" w:rsidP="002F73BB">
      <w:pPr>
        <w:pStyle w:val="Subtitle"/>
        <w:spacing w:after="0" w:line="240" w:lineRule="auto"/>
        <w:rPr>
          <w:rStyle w:val="field-content"/>
          <w:b/>
          <w:i w:val="0"/>
          <w:iCs w:val="0"/>
          <w:spacing w:val="-10"/>
          <w:kern w:val="28"/>
          <w:szCs w:val="56"/>
        </w:rPr>
      </w:pPr>
    </w:p>
    <w:p w14:paraId="1A58D740" w14:textId="77777777" w:rsidR="002F73BB" w:rsidRDefault="002F73BB" w:rsidP="002F73BB">
      <w:pPr>
        <w:spacing w:after="0"/>
        <w:jc w:val="both"/>
        <w:rPr>
          <w:rFonts w:ascii="Arial" w:hAnsi="Arial" w:cs="Arial"/>
          <w:b/>
          <w:sz w:val="20"/>
          <w:szCs w:val="20"/>
        </w:rPr>
      </w:pPr>
    </w:p>
    <w:p w14:paraId="5D466E31" w14:textId="2E18CDB9" w:rsidR="002F73BB" w:rsidRPr="00021E03" w:rsidRDefault="002F73BB" w:rsidP="002F73BB">
      <w:pPr>
        <w:jc w:val="both"/>
        <w:rPr>
          <w:rFonts w:ascii="Arial" w:hAnsi="Arial" w:cs="Arial"/>
          <w:b/>
          <w:sz w:val="20"/>
          <w:szCs w:val="20"/>
        </w:rPr>
      </w:pPr>
      <w:r>
        <w:rPr>
          <w:rFonts w:ascii="Arial" w:hAnsi="Arial" w:cs="Arial"/>
          <w:b/>
          <w:sz w:val="20"/>
          <w:szCs w:val="20"/>
        </w:rPr>
        <w:t>Competent authorities shall</w:t>
      </w:r>
      <w:r w:rsidRPr="00A06325">
        <w:rPr>
          <w:rFonts w:ascii="Arial" w:hAnsi="Arial" w:cs="Arial"/>
          <w:b/>
          <w:sz w:val="20"/>
          <w:szCs w:val="20"/>
        </w:rPr>
        <w:t xml:space="preserve"> send the information </w:t>
      </w:r>
      <w:r>
        <w:rPr>
          <w:rFonts w:ascii="Arial" w:hAnsi="Arial" w:cs="Arial"/>
          <w:b/>
          <w:sz w:val="20"/>
          <w:szCs w:val="20"/>
        </w:rPr>
        <w:t xml:space="preserve">requested in the below tables </w:t>
      </w:r>
      <w:r w:rsidRPr="00834E4F">
        <w:rPr>
          <w:rFonts w:ascii="Arial" w:hAnsi="Arial" w:cs="Arial"/>
          <w:b/>
          <w:sz w:val="20"/>
          <w:szCs w:val="20"/>
          <w:u w:val="single"/>
        </w:rPr>
        <w:t>in WORD format</w:t>
      </w:r>
      <w:r>
        <w:rPr>
          <w:rFonts w:ascii="Arial" w:hAnsi="Arial" w:cs="Arial"/>
          <w:b/>
          <w:sz w:val="20"/>
          <w:szCs w:val="20"/>
        </w:rPr>
        <w:t xml:space="preserve"> </w:t>
      </w:r>
      <w:r w:rsidRPr="00A06325">
        <w:rPr>
          <w:rFonts w:ascii="Arial" w:hAnsi="Arial" w:cs="Arial"/>
          <w:b/>
          <w:sz w:val="20"/>
          <w:szCs w:val="20"/>
        </w:rPr>
        <w:t xml:space="preserve">to </w:t>
      </w:r>
      <w:hyperlink r:id="rId12" w:history="1">
        <w:r w:rsidRPr="00A06325">
          <w:rPr>
            <w:rStyle w:val="Hyperlink"/>
            <w:rFonts w:ascii="Arial" w:hAnsi="Arial" w:cs="Arial"/>
            <w:b/>
            <w:sz w:val="20"/>
            <w:szCs w:val="20"/>
          </w:rPr>
          <w:t>CSDR.Notifications@esma.europa.eu</w:t>
        </w:r>
      </w:hyperlink>
      <w:r w:rsidRPr="00A06325">
        <w:rPr>
          <w:rFonts w:ascii="Arial" w:hAnsi="Arial" w:cs="Arial"/>
          <w:b/>
          <w:sz w:val="20"/>
          <w:szCs w:val="20"/>
        </w:rPr>
        <w:t>.</w:t>
      </w:r>
      <w:r w:rsidRPr="00F87019">
        <w:rPr>
          <w:rFonts w:ascii="Arial" w:hAnsi="Arial" w:cs="Arial"/>
          <w:b/>
          <w:sz w:val="20"/>
          <w:szCs w:val="20"/>
        </w:rPr>
        <w:t xml:space="preserve"> </w:t>
      </w:r>
      <w:r w:rsidRPr="00A06325">
        <w:rPr>
          <w:rFonts w:ascii="Arial" w:hAnsi="Arial" w:cs="Arial"/>
          <w:b/>
          <w:sz w:val="20"/>
          <w:szCs w:val="20"/>
        </w:rPr>
        <w:t xml:space="preserve">The </w:t>
      </w:r>
      <w:r>
        <w:rPr>
          <w:rFonts w:ascii="Arial" w:hAnsi="Arial" w:cs="Arial"/>
          <w:b/>
          <w:sz w:val="20"/>
          <w:szCs w:val="20"/>
        </w:rPr>
        <w:t>information provided will be</w:t>
      </w:r>
      <w:r w:rsidRPr="00A06325">
        <w:rPr>
          <w:rFonts w:ascii="Arial" w:hAnsi="Arial" w:cs="Arial"/>
          <w:b/>
          <w:sz w:val="20"/>
          <w:szCs w:val="20"/>
        </w:rPr>
        <w:t xml:space="preserve"> published by ESMA in accordance with Article 21(3) and Article 58(2) of CSDR.  </w:t>
      </w:r>
    </w:p>
    <w:p w14:paraId="71FE33A0" w14:textId="77777777" w:rsidR="002F73BB" w:rsidRPr="00A06325" w:rsidRDefault="002F73BB" w:rsidP="002F73BB">
      <w:pPr>
        <w:pStyle w:val="Subtitle"/>
        <w:spacing w:after="0" w:line="240" w:lineRule="auto"/>
        <w:jc w:val="both"/>
        <w:rPr>
          <w:rFonts w:ascii="Arial" w:eastAsia="Times New Roman" w:hAnsi="Arial" w:cs="Arial"/>
          <w:color w:val="auto"/>
          <w:sz w:val="20"/>
          <w:szCs w:val="20"/>
          <w:lang w:val="en-US"/>
        </w:rPr>
      </w:pPr>
      <w:r w:rsidRPr="00A06325">
        <w:rPr>
          <w:rFonts w:ascii="Arial" w:eastAsia="Times New Roman" w:hAnsi="Arial" w:cs="Arial"/>
          <w:color w:val="auto"/>
          <w:sz w:val="20"/>
          <w:szCs w:val="20"/>
          <w:lang w:val="en-US"/>
        </w:rPr>
        <w:t xml:space="preserve"> Article 21 - </w:t>
      </w:r>
      <w:r w:rsidRPr="00A06325">
        <w:rPr>
          <w:rFonts w:ascii="Arial" w:eastAsia="Times New Roman" w:hAnsi="Arial" w:cs="Arial"/>
          <w:b/>
          <w:color w:val="auto"/>
          <w:sz w:val="20"/>
          <w:szCs w:val="20"/>
          <w:lang w:val="en-US"/>
        </w:rPr>
        <w:t>CSD register</w:t>
      </w:r>
    </w:p>
    <w:p w14:paraId="400F7B8F"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1.   Decisions taken by competent authorities under Articles 16, 19 and 20 shall be immediately communicated to ESMA.</w:t>
      </w:r>
    </w:p>
    <w:p w14:paraId="2D03EF4C"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2.   Central banks shall without undue delay inform ESMA of any securities settlement system that they operate.</w:t>
      </w:r>
    </w:p>
    <w:p w14:paraId="0B0001FE"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 xml:space="preserve">3.   The </w:t>
      </w:r>
      <w:r w:rsidRPr="00A06325">
        <w:rPr>
          <w:rFonts w:ascii="Arial" w:eastAsia="Times New Roman" w:hAnsi="Arial" w:cs="Arial"/>
          <w:b/>
          <w:i/>
          <w:sz w:val="20"/>
          <w:szCs w:val="20"/>
          <w:lang w:val="en-US"/>
        </w:rPr>
        <w:t>name</w:t>
      </w:r>
      <w:r w:rsidRPr="00A06325">
        <w:rPr>
          <w:rFonts w:ascii="Arial" w:eastAsia="Times New Roman" w:hAnsi="Arial" w:cs="Arial"/>
          <w:i/>
          <w:sz w:val="20"/>
          <w:szCs w:val="20"/>
          <w:lang w:val="en-US"/>
        </w:rPr>
        <w:t xml:space="preserve"> </w:t>
      </w:r>
      <w:r w:rsidRPr="00A06325">
        <w:rPr>
          <w:rFonts w:ascii="Arial" w:eastAsia="Times New Roman" w:hAnsi="Arial" w:cs="Arial"/>
          <w:b/>
          <w:i/>
          <w:sz w:val="20"/>
          <w:szCs w:val="20"/>
          <w:lang w:val="en-US"/>
        </w:rPr>
        <w:t>of each CSD</w:t>
      </w:r>
      <w:r w:rsidRPr="00A06325">
        <w:rPr>
          <w:rFonts w:ascii="Arial" w:eastAsia="Times New Roman" w:hAnsi="Arial" w:cs="Arial"/>
          <w:i/>
          <w:sz w:val="20"/>
          <w:szCs w:val="20"/>
          <w:lang w:val="en-US"/>
        </w:rPr>
        <w:t xml:space="preserve"> operating in compliance with this Regulation and to which </w:t>
      </w:r>
      <w:r w:rsidRPr="00A06325">
        <w:rPr>
          <w:rFonts w:ascii="Arial" w:eastAsia="Times New Roman" w:hAnsi="Arial" w:cs="Arial"/>
          <w:b/>
          <w:i/>
          <w:sz w:val="20"/>
          <w:szCs w:val="20"/>
          <w:lang w:val="en-US"/>
        </w:rPr>
        <w:t xml:space="preserve">authorisation </w:t>
      </w:r>
      <w:r w:rsidRPr="00E34B80">
        <w:rPr>
          <w:rFonts w:ascii="Arial" w:eastAsia="Times New Roman" w:hAnsi="Arial" w:cs="Arial"/>
          <w:i/>
          <w:sz w:val="20"/>
          <w:szCs w:val="20"/>
          <w:lang w:val="en-US"/>
        </w:rPr>
        <w:t>or recognition</w:t>
      </w:r>
      <w:r w:rsidRPr="00A06325">
        <w:rPr>
          <w:rFonts w:ascii="Arial" w:eastAsia="Times New Roman" w:hAnsi="Arial" w:cs="Arial"/>
          <w:i/>
          <w:sz w:val="20"/>
          <w:szCs w:val="20"/>
          <w:lang w:val="en-US"/>
        </w:rPr>
        <w:t xml:space="preserve"> has been granted pursuant to Article 16, 19 or 25 shall be entered in a register specifying the </w:t>
      </w:r>
      <w:r w:rsidRPr="00A06325">
        <w:rPr>
          <w:rFonts w:ascii="Arial" w:eastAsia="Times New Roman" w:hAnsi="Arial" w:cs="Arial"/>
          <w:b/>
          <w:i/>
          <w:sz w:val="20"/>
          <w:szCs w:val="20"/>
          <w:lang w:val="en-US"/>
        </w:rPr>
        <w:t>services</w:t>
      </w:r>
      <w:r w:rsidRPr="00A06325">
        <w:rPr>
          <w:rFonts w:ascii="Arial" w:eastAsia="Times New Roman" w:hAnsi="Arial" w:cs="Arial"/>
          <w:i/>
          <w:sz w:val="20"/>
          <w:szCs w:val="20"/>
          <w:lang w:val="en-US"/>
        </w:rPr>
        <w:t xml:space="preserve"> and, where applicable, </w:t>
      </w:r>
      <w:r w:rsidRPr="00A06325">
        <w:rPr>
          <w:rFonts w:ascii="Arial" w:eastAsia="Times New Roman" w:hAnsi="Arial" w:cs="Arial"/>
          <w:b/>
          <w:i/>
          <w:sz w:val="20"/>
          <w:szCs w:val="20"/>
          <w:lang w:val="en-US"/>
        </w:rPr>
        <w:t>classes of financial instruments</w:t>
      </w:r>
      <w:r w:rsidRPr="00A06325">
        <w:rPr>
          <w:rFonts w:ascii="Arial" w:eastAsia="Times New Roman" w:hAnsi="Arial" w:cs="Arial"/>
          <w:i/>
          <w:sz w:val="20"/>
          <w:szCs w:val="20"/>
          <w:lang w:val="en-US"/>
        </w:rPr>
        <w:t xml:space="preserve"> for which the CSD has been authorised. The register shall include </w:t>
      </w:r>
      <w:r w:rsidRPr="00A06325">
        <w:rPr>
          <w:rFonts w:ascii="Arial" w:eastAsia="Times New Roman" w:hAnsi="Arial" w:cs="Arial"/>
          <w:b/>
          <w:i/>
          <w:sz w:val="20"/>
          <w:szCs w:val="20"/>
          <w:lang w:val="en-US"/>
        </w:rPr>
        <w:t>branches operated by the CSD in other Member States, CSD links and the information required under Article 31 where Member States have made use of the possibility provided for in that Article</w:t>
      </w:r>
      <w:r w:rsidRPr="00A06325">
        <w:rPr>
          <w:rFonts w:ascii="Arial" w:eastAsia="Times New Roman" w:hAnsi="Arial" w:cs="Arial"/>
          <w:i/>
          <w:sz w:val="20"/>
          <w:szCs w:val="20"/>
          <w:lang w:val="en-US"/>
        </w:rPr>
        <w:t>. ESMA shall make the register available on its dedicated website and keep it up to date.</w:t>
      </w:r>
    </w:p>
    <w:p w14:paraId="1A591669" w14:textId="77777777" w:rsidR="002F73BB" w:rsidRDefault="002F73BB" w:rsidP="002F73BB">
      <w:pPr>
        <w:spacing w:after="0" w:line="240" w:lineRule="auto"/>
        <w:jc w:val="both"/>
        <w:rPr>
          <w:rFonts w:ascii="Arial" w:eastAsia="Times New Roman" w:hAnsi="Arial" w:cs="Arial"/>
          <w:i/>
          <w:sz w:val="20"/>
          <w:szCs w:val="20"/>
          <w:lang w:val="en-US"/>
        </w:rPr>
      </w:pPr>
    </w:p>
    <w:p w14:paraId="66BD8944"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 xml:space="preserve">Article 58 - </w:t>
      </w:r>
      <w:r w:rsidRPr="00A06325">
        <w:rPr>
          <w:rFonts w:ascii="Arial" w:eastAsia="Times New Roman" w:hAnsi="Arial" w:cs="Arial"/>
          <w:b/>
          <w:i/>
          <w:sz w:val="20"/>
          <w:szCs w:val="20"/>
          <w:lang w:val="en-US"/>
        </w:rPr>
        <w:t>CSD register</w:t>
      </w:r>
    </w:p>
    <w:p w14:paraId="1047EEB7"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1.   Decisions taken by competent authorities under Articles 54, 56 and 57 shall be notified to ESMA.</w:t>
      </w:r>
    </w:p>
    <w:p w14:paraId="329DA35F"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2.   ESMA shall introduce in the register, that it is required to make available on its dedicated website in accordance with Article 21(3), the following information:</w:t>
      </w:r>
    </w:p>
    <w:p w14:paraId="64913286"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(a)</w:t>
      </w:r>
      <w:r w:rsidRPr="00A06325">
        <w:rPr>
          <w:rFonts w:ascii="Arial" w:eastAsia="Times New Roman" w:hAnsi="Arial" w:cs="Arial"/>
          <w:i/>
          <w:sz w:val="20"/>
          <w:szCs w:val="20"/>
          <w:lang w:val="en-US"/>
        </w:rPr>
        <w:tab/>
        <w:t xml:space="preserve">the </w:t>
      </w:r>
      <w:r w:rsidRPr="00A06325">
        <w:rPr>
          <w:rFonts w:ascii="Arial" w:eastAsia="Times New Roman" w:hAnsi="Arial" w:cs="Arial"/>
          <w:b/>
          <w:i/>
          <w:sz w:val="20"/>
          <w:szCs w:val="20"/>
          <w:lang w:val="en-US"/>
        </w:rPr>
        <w:t>name of each CSD</w:t>
      </w:r>
      <w:r w:rsidRPr="00A06325">
        <w:rPr>
          <w:rFonts w:ascii="Arial" w:eastAsia="Times New Roman" w:hAnsi="Arial" w:cs="Arial"/>
          <w:i/>
          <w:sz w:val="20"/>
          <w:szCs w:val="20"/>
          <w:lang w:val="en-US"/>
        </w:rPr>
        <w:t xml:space="preserve"> which was subject to a decision under Articles 54, 56 and 57;</w:t>
      </w:r>
    </w:p>
    <w:p w14:paraId="314C35AB"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(b)</w:t>
      </w:r>
      <w:r w:rsidRPr="00A06325">
        <w:rPr>
          <w:rFonts w:ascii="Arial" w:eastAsia="Times New Roman" w:hAnsi="Arial" w:cs="Arial"/>
          <w:i/>
          <w:sz w:val="20"/>
          <w:szCs w:val="20"/>
          <w:lang w:val="en-US"/>
        </w:rPr>
        <w:tab/>
        <w:t xml:space="preserve">the </w:t>
      </w:r>
      <w:r w:rsidRPr="00A06325">
        <w:rPr>
          <w:rFonts w:ascii="Arial" w:eastAsia="Times New Roman" w:hAnsi="Arial" w:cs="Arial"/>
          <w:b/>
          <w:i/>
          <w:sz w:val="20"/>
          <w:szCs w:val="20"/>
          <w:lang w:val="en-US"/>
        </w:rPr>
        <w:t>name of each</w:t>
      </w:r>
      <w:r w:rsidRPr="00A06325">
        <w:rPr>
          <w:rFonts w:ascii="Arial" w:eastAsia="Times New Roman" w:hAnsi="Arial" w:cs="Arial"/>
          <w:i/>
          <w:sz w:val="20"/>
          <w:szCs w:val="20"/>
          <w:lang w:val="en-US"/>
        </w:rPr>
        <w:t xml:space="preserve"> </w:t>
      </w:r>
      <w:r w:rsidRPr="00A06325">
        <w:rPr>
          <w:rFonts w:ascii="Arial" w:eastAsia="Times New Roman" w:hAnsi="Arial" w:cs="Arial"/>
          <w:b/>
          <w:i/>
          <w:sz w:val="20"/>
          <w:szCs w:val="20"/>
          <w:lang w:val="en-US"/>
        </w:rPr>
        <w:t>designated credit institution</w:t>
      </w:r>
      <w:r w:rsidRPr="00A06325">
        <w:rPr>
          <w:rFonts w:ascii="Arial" w:eastAsia="Times New Roman" w:hAnsi="Arial" w:cs="Arial"/>
          <w:i/>
          <w:sz w:val="20"/>
          <w:szCs w:val="20"/>
          <w:lang w:val="en-US"/>
        </w:rPr>
        <w:t>;</w:t>
      </w:r>
    </w:p>
    <w:p w14:paraId="53B3A5AE" w14:textId="77777777" w:rsidR="002F73BB" w:rsidRPr="00A06325" w:rsidRDefault="002F73BB" w:rsidP="002F73BB">
      <w:pPr>
        <w:spacing w:after="0" w:line="240" w:lineRule="auto"/>
        <w:jc w:val="both"/>
        <w:rPr>
          <w:rFonts w:ascii="Arial" w:eastAsia="Times New Roman" w:hAnsi="Arial" w:cs="Arial"/>
          <w:i/>
          <w:sz w:val="20"/>
          <w:szCs w:val="20"/>
          <w:lang w:val="en-US"/>
        </w:rPr>
      </w:pPr>
      <w:r w:rsidRPr="00A06325">
        <w:rPr>
          <w:rFonts w:ascii="Arial" w:eastAsia="Times New Roman" w:hAnsi="Arial" w:cs="Arial"/>
          <w:i/>
          <w:sz w:val="20"/>
          <w:szCs w:val="20"/>
          <w:lang w:val="en-US"/>
        </w:rPr>
        <w:t>(c)</w:t>
      </w:r>
      <w:r w:rsidRPr="00A06325">
        <w:rPr>
          <w:rFonts w:ascii="Arial" w:eastAsia="Times New Roman" w:hAnsi="Arial" w:cs="Arial"/>
          <w:i/>
          <w:sz w:val="20"/>
          <w:szCs w:val="20"/>
          <w:lang w:val="en-US"/>
        </w:rPr>
        <w:tab/>
        <w:t xml:space="preserve">the </w:t>
      </w:r>
      <w:r w:rsidRPr="00A06325">
        <w:rPr>
          <w:rFonts w:ascii="Arial" w:eastAsia="Times New Roman" w:hAnsi="Arial" w:cs="Arial"/>
          <w:b/>
          <w:i/>
          <w:sz w:val="20"/>
          <w:szCs w:val="20"/>
          <w:lang w:val="en-US"/>
        </w:rPr>
        <w:t>list of banking-type ancillary services</w:t>
      </w:r>
      <w:r w:rsidRPr="00A06325">
        <w:rPr>
          <w:rFonts w:ascii="Arial" w:eastAsia="Times New Roman" w:hAnsi="Arial" w:cs="Arial"/>
          <w:i/>
          <w:sz w:val="20"/>
          <w:szCs w:val="20"/>
          <w:lang w:val="en-US"/>
        </w:rPr>
        <w:t xml:space="preserve"> that a designated credit institution or a CSD authorised under Article 54 is authorised to provide for the CSD’s participants.</w:t>
      </w:r>
    </w:p>
    <w:p w14:paraId="2DE7E5C5" w14:textId="77777777" w:rsidR="002F73BB" w:rsidRPr="00A06325" w:rsidRDefault="002F73BB" w:rsidP="002F73BB">
      <w:pPr>
        <w:spacing w:after="0" w:line="240" w:lineRule="auto"/>
        <w:jc w:val="both"/>
        <w:rPr>
          <w:rFonts w:ascii="Arial" w:eastAsia="Times New Roman" w:hAnsi="Arial" w:cs="Arial"/>
          <w:i/>
          <w:sz w:val="20"/>
          <w:szCs w:val="20"/>
          <w:lang w:val="en-US"/>
        </w:rPr>
      </w:pPr>
    </w:p>
    <w:sdt>
      <w:sdtPr>
        <w:rPr>
          <w:rFonts w:ascii="Arial" w:eastAsiaTheme="minorHAnsi" w:hAnsi="Arial" w:cs="Arial"/>
          <w:color w:val="auto"/>
          <w:sz w:val="20"/>
          <w:szCs w:val="22"/>
          <w:lang w:val="en-GB"/>
        </w:rPr>
        <w:id w:val="-623776950"/>
        <w:docPartObj>
          <w:docPartGallery w:val="Table of Contents"/>
          <w:docPartUnique/>
        </w:docPartObj>
      </w:sdtPr>
      <w:sdtEndPr>
        <w:rPr>
          <w:b/>
          <w:bCs/>
          <w:noProof/>
          <w:sz w:val="22"/>
        </w:rPr>
      </w:sdtEndPr>
      <w:sdtContent>
        <w:p w14:paraId="7B0161C8" w14:textId="77777777" w:rsidR="0004214F" w:rsidRDefault="002F73BB" w:rsidP="002F73BB">
          <w:pPr>
            <w:pStyle w:val="TOCHeading"/>
            <w:rPr>
              <w:noProof/>
            </w:rPr>
          </w:pPr>
          <w:r w:rsidRPr="008B7433">
            <w:rPr>
              <w:rFonts w:ascii="Arial" w:hAnsi="Arial" w:cs="Arial"/>
              <w:sz w:val="24"/>
            </w:rPr>
            <w:t>Contents</w:t>
          </w:r>
          <w:r w:rsidRPr="008B7433">
            <w:rPr>
              <w:rFonts w:ascii="Arial" w:hAnsi="Arial" w:cs="Arial"/>
              <w:sz w:val="28"/>
            </w:rPr>
            <w:fldChar w:fldCharType="begin"/>
          </w:r>
          <w:r w:rsidRPr="008B7433">
            <w:rPr>
              <w:rFonts w:ascii="Arial" w:hAnsi="Arial" w:cs="Arial"/>
              <w:sz w:val="28"/>
            </w:rPr>
            <w:instrText xml:space="preserve"> TOC \o "1-3" \h \z \u </w:instrText>
          </w:r>
          <w:r w:rsidRPr="008B7433">
            <w:rPr>
              <w:rFonts w:ascii="Arial" w:hAnsi="Arial" w:cs="Arial"/>
              <w:sz w:val="28"/>
            </w:rPr>
            <w:fldChar w:fldCharType="separate"/>
          </w:r>
        </w:p>
        <w:p w14:paraId="7F1134A8" w14:textId="4AE5449E" w:rsidR="0004214F" w:rsidRDefault="00C80AE0">
          <w:pPr>
            <w:pStyle w:val="TOC1"/>
            <w:tabs>
              <w:tab w:val="right" w:leader="dot" w:pos="13948"/>
            </w:tabs>
            <w:rPr>
              <w:rFonts w:eastAsiaTheme="minorEastAsia"/>
              <w:noProof/>
              <w:lang w:eastAsia="en-GB"/>
            </w:rPr>
          </w:pPr>
          <w:hyperlink w:anchor="_Toc491176579" w:history="1">
            <w:r w:rsidR="0004214F" w:rsidRPr="0014526A">
              <w:rPr>
                <w:rStyle w:val="Hyperlink"/>
                <w:rFonts w:ascii="Arial" w:hAnsi="Arial" w:cs="Arial"/>
                <w:b/>
                <w:noProof/>
              </w:rPr>
              <w:t>I. EU CSDs (authorised under Art 16/Art 54 of CSDR) – general information</w:t>
            </w:r>
            <w:r w:rsidR="0004214F">
              <w:rPr>
                <w:noProof/>
                <w:webHidden/>
              </w:rPr>
              <w:tab/>
            </w:r>
            <w:r w:rsidR="0004214F">
              <w:rPr>
                <w:noProof/>
                <w:webHidden/>
              </w:rPr>
              <w:fldChar w:fldCharType="begin"/>
            </w:r>
            <w:r w:rsidR="0004214F">
              <w:rPr>
                <w:noProof/>
                <w:webHidden/>
              </w:rPr>
              <w:instrText xml:space="preserve"> PAGEREF _Toc491176579 \h </w:instrText>
            </w:r>
            <w:r w:rsidR="0004214F">
              <w:rPr>
                <w:noProof/>
                <w:webHidden/>
              </w:rPr>
            </w:r>
            <w:r w:rsidR="0004214F">
              <w:rPr>
                <w:noProof/>
                <w:webHidden/>
              </w:rPr>
              <w:fldChar w:fldCharType="separate"/>
            </w:r>
            <w:r w:rsidR="0004214F">
              <w:rPr>
                <w:noProof/>
                <w:webHidden/>
              </w:rPr>
              <w:t>2</w:t>
            </w:r>
            <w:r w:rsidR="0004214F">
              <w:rPr>
                <w:noProof/>
                <w:webHidden/>
              </w:rPr>
              <w:fldChar w:fldCharType="end"/>
            </w:r>
          </w:hyperlink>
        </w:p>
        <w:p w14:paraId="521E0CBD" w14:textId="19801EB7" w:rsidR="0004214F" w:rsidRDefault="00C80AE0">
          <w:pPr>
            <w:pStyle w:val="TOC1"/>
            <w:tabs>
              <w:tab w:val="right" w:leader="dot" w:pos="13948"/>
            </w:tabs>
            <w:rPr>
              <w:rFonts w:eastAsiaTheme="minorEastAsia"/>
              <w:noProof/>
              <w:lang w:eastAsia="en-GB"/>
            </w:rPr>
          </w:pPr>
          <w:hyperlink w:anchor="_Toc491176580" w:history="1">
            <w:r w:rsidR="0004214F" w:rsidRPr="0014526A">
              <w:rPr>
                <w:rStyle w:val="Hyperlink"/>
                <w:rFonts w:ascii="Arial" w:hAnsi="Arial" w:cs="Arial"/>
                <w:b/>
                <w:noProof/>
              </w:rPr>
              <w:t>II. EU CSDs (authorised under Art 16/Art 54 of CSDR) – additional information on each CSD</w:t>
            </w:r>
            <w:r w:rsidR="0004214F">
              <w:rPr>
                <w:noProof/>
                <w:webHidden/>
              </w:rPr>
              <w:tab/>
            </w:r>
            <w:r w:rsidR="0004214F">
              <w:rPr>
                <w:noProof/>
                <w:webHidden/>
              </w:rPr>
              <w:fldChar w:fldCharType="begin"/>
            </w:r>
            <w:r w:rsidR="0004214F">
              <w:rPr>
                <w:noProof/>
                <w:webHidden/>
              </w:rPr>
              <w:instrText xml:space="preserve"> PAGEREF _Toc491176580 \h </w:instrText>
            </w:r>
            <w:r w:rsidR="0004214F">
              <w:rPr>
                <w:noProof/>
                <w:webHidden/>
              </w:rPr>
            </w:r>
            <w:r w:rsidR="0004214F">
              <w:rPr>
                <w:noProof/>
                <w:webHidden/>
              </w:rPr>
              <w:fldChar w:fldCharType="separate"/>
            </w:r>
            <w:r w:rsidR="0004214F">
              <w:rPr>
                <w:noProof/>
                <w:webHidden/>
              </w:rPr>
              <w:t>3</w:t>
            </w:r>
            <w:r w:rsidR="0004214F">
              <w:rPr>
                <w:noProof/>
                <w:webHidden/>
              </w:rPr>
              <w:fldChar w:fldCharType="end"/>
            </w:r>
          </w:hyperlink>
        </w:p>
        <w:p w14:paraId="65DB844D" w14:textId="31E20D79" w:rsidR="0004214F" w:rsidRDefault="00C80AE0">
          <w:pPr>
            <w:pStyle w:val="TOC1"/>
            <w:tabs>
              <w:tab w:val="right" w:leader="dot" w:pos="13948"/>
            </w:tabs>
            <w:rPr>
              <w:rFonts w:eastAsiaTheme="minorEastAsia"/>
              <w:noProof/>
              <w:lang w:eastAsia="en-GB"/>
            </w:rPr>
          </w:pPr>
          <w:hyperlink w:anchor="_Toc491176581" w:history="1">
            <w:r w:rsidR="0004214F" w:rsidRPr="0014526A">
              <w:rPr>
                <w:rStyle w:val="Hyperlink"/>
                <w:rFonts w:ascii="Arial" w:hAnsi="Arial" w:cs="Arial"/>
                <w:b/>
                <w:noProof/>
              </w:rPr>
              <w:t>III. Entities allowed to record book entries into securities accounts maintained by CSDs (Art 31 of CSDR)</w:t>
            </w:r>
            <w:r w:rsidR="0004214F">
              <w:rPr>
                <w:noProof/>
                <w:webHidden/>
              </w:rPr>
              <w:tab/>
            </w:r>
            <w:r w:rsidR="0004214F">
              <w:rPr>
                <w:noProof/>
                <w:webHidden/>
              </w:rPr>
              <w:fldChar w:fldCharType="begin"/>
            </w:r>
            <w:r w:rsidR="0004214F">
              <w:rPr>
                <w:noProof/>
                <w:webHidden/>
              </w:rPr>
              <w:instrText xml:space="preserve"> PAGEREF _Toc491176581 \h </w:instrText>
            </w:r>
            <w:r w:rsidR="0004214F">
              <w:rPr>
                <w:noProof/>
                <w:webHidden/>
              </w:rPr>
            </w:r>
            <w:r w:rsidR="0004214F">
              <w:rPr>
                <w:noProof/>
                <w:webHidden/>
              </w:rPr>
              <w:fldChar w:fldCharType="separate"/>
            </w:r>
            <w:r w:rsidR="0004214F">
              <w:rPr>
                <w:noProof/>
                <w:webHidden/>
              </w:rPr>
              <w:t>6</w:t>
            </w:r>
            <w:r w:rsidR="0004214F">
              <w:rPr>
                <w:noProof/>
                <w:webHidden/>
              </w:rPr>
              <w:fldChar w:fldCharType="end"/>
            </w:r>
          </w:hyperlink>
        </w:p>
        <w:p w14:paraId="7F10FE66" w14:textId="77777777" w:rsidR="002F73BB" w:rsidRPr="00A06325" w:rsidRDefault="002F73BB" w:rsidP="002F73BB">
          <w:pPr>
            <w:rPr>
              <w:rStyle w:val="field-content"/>
              <w:rFonts w:ascii="Arial" w:hAnsi="Arial" w:cs="Arial"/>
              <w:b/>
              <w:bCs/>
              <w:noProof/>
            </w:rPr>
            <w:sectPr w:rsidR="002F73BB" w:rsidRPr="00A06325" w:rsidSect="00F35D1E">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pPr>
          <w:r w:rsidRPr="008B7433">
            <w:rPr>
              <w:rFonts w:ascii="Arial" w:hAnsi="Arial" w:cs="Arial"/>
              <w:b/>
              <w:bCs/>
              <w:noProof/>
              <w:sz w:val="20"/>
            </w:rPr>
            <w:fldChar w:fldCharType="end"/>
          </w:r>
        </w:p>
      </w:sdtContent>
    </w:sdt>
    <w:p w14:paraId="49FC976D" w14:textId="77777777" w:rsidR="002F73BB" w:rsidRPr="00A06325" w:rsidRDefault="002F73BB" w:rsidP="002F73BB">
      <w:pPr>
        <w:rPr>
          <w:rFonts w:ascii="Arial" w:hAnsi="Arial" w:cs="Arial"/>
        </w:rPr>
      </w:pPr>
    </w:p>
    <w:tbl>
      <w:tblPr>
        <w:tblStyle w:val="TableGrid"/>
        <w:tblW w:w="5000" w:type="pct"/>
        <w:tblLayout w:type="fixed"/>
        <w:tblLook w:val="04A0" w:firstRow="1" w:lastRow="0" w:firstColumn="1" w:lastColumn="0" w:noHBand="0" w:noVBand="1"/>
      </w:tblPr>
      <w:tblGrid>
        <w:gridCol w:w="846"/>
        <w:gridCol w:w="1135"/>
        <w:gridCol w:w="851"/>
        <w:gridCol w:w="993"/>
        <w:gridCol w:w="851"/>
        <w:gridCol w:w="1417"/>
        <w:gridCol w:w="3543"/>
        <w:gridCol w:w="1135"/>
        <w:gridCol w:w="848"/>
        <w:gridCol w:w="1138"/>
        <w:gridCol w:w="1191"/>
      </w:tblGrid>
      <w:tr w:rsidR="002F73BB" w:rsidRPr="00A06325" w14:paraId="2AEBBE24" w14:textId="77777777" w:rsidTr="00C03446">
        <w:trPr>
          <w:trHeight w:val="70"/>
        </w:trPr>
        <w:tc>
          <w:tcPr>
            <w:tcW w:w="5000" w:type="pct"/>
            <w:gridSpan w:val="11"/>
            <w:shd w:val="clear" w:color="auto" w:fill="2E74B5" w:themeFill="accent1" w:themeFillShade="BF"/>
            <w:vAlign w:val="center"/>
          </w:tcPr>
          <w:p w14:paraId="7A49FA8C" w14:textId="77777777" w:rsidR="002F73BB" w:rsidRPr="00A06325" w:rsidRDefault="002F73BB" w:rsidP="00C03446">
            <w:pPr>
              <w:pStyle w:val="Heading1"/>
              <w:outlineLvl w:val="0"/>
              <w:rPr>
                <w:rFonts w:ascii="Arial" w:hAnsi="Arial" w:cs="Arial"/>
                <w:b/>
                <w:color w:val="auto"/>
                <w:sz w:val="28"/>
                <w:szCs w:val="16"/>
              </w:rPr>
            </w:pPr>
            <w:bookmarkStart w:id="1" w:name="_Toc491176579"/>
            <w:r>
              <w:rPr>
                <w:rFonts w:ascii="Arial" w:hAnsi="Arial" w:cs="Arial"/>
                <w:b/>
                <w:color w:val="auto"/>
                <w:sz w:val="28"/>
              </w:rPr>
              <w:t xml:space="preserve">I. </w:t>
            </w:r>
            <w:r w:rsidRPr="00A06325">
              <w:rPr>
                <w:rFonts w:ascii="Arial" w:hAnsi="Arial" w:cs="Arial"/>
                <w:b/>
                <w:color w:val="auto"/>
                <w:sz w:val="28"/>
              </w:rPr>
              <w:t>EU CSDs (authorised under Art 16/Art 54 of CSDR) – general information</w:t>
            </w:r>
            <w:bookmarkEnd w:id="1"/>
          </w:p>
          <w:p w14:paraId="031DD7C8" w14:textId="77777777" w:rsidR="002F73BB" w:rsidRPr="00A06325" w:rsidRDefault="002F73BB" w:rsidP="00C03446">
            <w:pPr>
              <w:jc w:val="center"/>
              <w:rPr>
                <w:rFonts w:ascii="Arial" w:hAnsi="Arial" w:cs="Arial"/>
                <w:b/>
                <w:sz w:val="28"/>
                <w:szCs w:val="16"/>
              </w:rPr>
            </w:pPr>
          </w:p>
        </w:tc>
      </w:tr>
      <w:tr w:rsidR="0004214F" w:rsidRPr="00D60D99" w14:paraId="791F48A1" w14:textId="77777777" w:rsidTr="00D60D99">
        <w:trPr>
          <w:trHeight w:val="70"/>
        </w:trPr>
        <w:tc>
          <w:tcPr>
            <w:tcW w:w="303" w:type="pct"/>
            <w:shd w:val="clear" w:color="auto" w:fill="BDD6EE" w:themeFill="accent1" w:themeFillTint="66"/>
          </w:tcPr>
          <w:p w14:paraId="30EA448C"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CSD Home Member State</w:t>
            </w:r>
          </w:p>
        </w:tc>
        <w:tc>
          <w:tcPr>
            <w:tcW w:w="407" w:type="pct"/>
            <w:shd w:val="clear" w:color="auto" w:fill="BDD6EE" w:themeFill="accent1" w:themeFillTint="66"/>
          </w:tcPr>
          <w:p w14:paraId="265474B2"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Competent Authority</w:t>
            </w:r>
          </w:p>
        </w:tc>
        <w:tc>
          <w:tcPr>
            <w:tcW w:w="305" w:type="pct"/>
            <w:shd w:val="clear" w:color="auto" w:fill="BDD6EE" w:themeFill="accent1" w:themeFillTint="66"/>
          </w:tcPr>
          <w:p w14:paraId="110D8F3B"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CSD Name</w:t>
            </w:r>
          </w:p>
        </w:tc>
        <w:tc>
          <w:tcPr>
            <w:tcW w:w="356" w:type="pct"/>
            <w:shd w:val="clear" w:color="auto" w:fill="BDD6EE" w:themeFill="accent1" w:themeFillTint="66"/>
          </w:tcPr>
          <w:p w14:paraId="503C979C"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LEI of CSD</w:t>
            </w:r>
          </w:p>
        </w:tc>
        <w:tc>
          <w:tcPr>
            <w:tcW w:w="2490" w:type="pct"/>
            <w:gridSpan w:val="4"/>
            <w:shd w:val="clear" w:color="auto" w:fill="BDD6EE" w:themeFill="accent1" w:themeFillTint="66"/>
          </w:tcPr>
          <w:p w14:paraId="19B52529" w14:textId="04CC1290" w:rsidR="0004214F" w:rsidRPr="00D60D99" w:rsidRDefault="0004214F" w:rsidP="0004214F">
            <w:pPr>
              <w:jc w:val="center"/>
              <w:rPr>
                <w:rFonts w:ascii="Arial" w:hAnsi="Arial" w:cs="Arial"/>
                <w:b/>
                <w:sz w:val="16"/>
                <w:szCs w:val="20"/>
              </w:rPr>
            </w:pPr>
            <w:r w:rsidRPr="00D60D99">
              <w:rPr>
                <w:rFonts w:ascii="Arial" w:hAnsi="Arial" w:cs="Arial"/>
                <w:b/>
                <w:sz w:val="16"/>
                <w:szCs w:val="20"/>
              </w:rPr>
              <w:t>Initial Authorisation,</w:t>
            </w:r>
          </w:p>
          <w:p w14:paraId="6380687C"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Extension or Outsourcing of Activities and Services</w:t>
            </w:r>
          </w:p>
          <w:p w14:paraId="5035469F" w14:textId="77777777" w:rsidR="0004214F" w:rsidRPr="00D60D99" w:rsidRDefault="0004214F" w:rsidP="00C03446">
            <w:pPr>
              <w:jc w:val="center"/>
              <w:rPr>
                <w:rFonts w:ascii="Arial" w:hAnsi="Arial" w:cs="Arial"/>
                <w:b/>
                <w:sz w:val="16"/>
                <w:szCs w:val="20"/>
              </w:rPr>
            </w:pPr>
          </w:p>
          <w:p w14:paraId="26E318FB" w14:textId="77777777" w:rsidR="0004214F" w:rsidRPr="00D60D99" w:rsidRDefault="0004214F" w:rsidP="00C03446">
            <w:pPr>
              <w:jc w:val="center"/>
              <w:rPr>
                <w:rFonts w:ascii="Arial" w:hAnsi="Arial" w:cs="Arial"/>
                <w:b/>
                <w:sz w:val="16"/>
                <w:szCs w:val="20"/>
              </w:rPr>
            </w:pPr>
          </w:p>
          <w:p w14:paraId="71421924" w14:textId="77777777" w:rsidR="0004214F" w:rsidRPr="00D60D99" w:rsidRDefault="0004214F" w:rsidP="00C03446">
            <w:pPr>
              <w:jc w:val="center"/>
              <w:rPr>
                <w:rFonts w:ascii="Arial" w:hAnsi="Arial" w:cs="Arial"/>
                <w:b/>
                <w:sz w:val="16"/>
                <w:szCs w:val="20"/>
              </w:rPr>
            </w:pPr>
          </w:p>
        </w:tc>
        <w:tc>
          <w:tcPr>
            <w:tcW w:w="1139" w:type="pct"/>
            <w:gridSpan w:val="3"/>
            <w:shd w:val="clear" w:color="auto" w:fill="BDD6EE" w:themeFill="accent1" w:themeFillTint="66"/>
          </w:tcPr>
          <w:p w14:paraId="0FCB709E" w14:textId="77777777" w:rsidR="0004214F" w:rsidRPr="00D60D99" w:rsidRDefault="0004214F" w:rsidP="00C03446">
            <w:pPr>
              <w:jc w:val="center"/>
              <w:rPr>
                <w:rFonts w:ascii="Arial" w:hAnsi="Arial" w:cs="Arial"/>
                <w:b/>
                <w:sz w:val="16"/>
                <w:szCs w:val="20"/>
              </w:rPr>
            </w:pPr>
            <w:r w:rsidRPr="00D60D99">
              <w:rPr>
                <w:rFonts w:ascii="Arial" w:hAnsi="Arial" w:cs="Arial"/>
                <w:b/>
                <w:sz w:val="16"/>
                <w:szCs w:val="20"/>
              </w:rPr>
              <w:t>Withdrawal of Authorisation</w:t>
            </w:r>
          </w:p>
          <w:p w14:paraId="0AAC1EAA" w14:textId="77777777" w:rsidR="0004214F" w:rsidRPr="00D60D99" w:rsidRDefault="0004214F" w:rsidP="00C03446">
            <w:pPr>
              <w:jc w:val="center"/>
              <w:rPr>
                <w:rFonts w:ascii="Arial" w:hAnsi="Arial" w:cs="Arial"/>
                <w:b/>
                <w:sz w:val="16"/>
                <w:szCs w:val="20"/>
              </w:rPr>
            </w:pPr>
          </w:p>
          <w:p w14:paraId="08211B41" w14:textId="77777777" w:rsidR="0004214F" w:rsidRPr="00D60D99" w:rsidRDefault="0004214F" w:rsidP="00C03446">
            <w:pPr>
              <w:jc w:val="center"/>
              <w:rPr>
                <w:rFonts w:ascii="Arial" w:hAnsi="Arial" w:cs="Arial"/>
                <w:b/>
                <w:sz w:val="16"/>
                <w:szCs w:val="20"/>
              </w:rPr>
            </w:pPr>
          </w:p>
        </w:tc>
      </w:tr>
      <w:tr w:rsidR="0004214F" w:rsidRPr="00112DBA" w14:paraId="457E51D4" w14:textId="77777777" w:rsidTr="00D60D99">
        <w:tc>
          <w:tcPr>
            <w:tcW w:w="303" w:type="pct"/>
            <w:shd w:val="clear" w:color="auto" w:fill="BDD6EE" w:themeFill="accent1" w:themeFillTint="66"/>
          </w:tcPr>
          <w:p w14:paraId="40323549" w14:textId="77777777" w:rsidR="0004214F" w:rsidRPr="00112DBA" w:rsidRDefault="0004214F" w:rsidP="00C03446">
            <w:pPr>
              <w:rPr>
                <w:rFonts w:ascii="Arial" w:hAnsi="Arial" w:cs="Arial"/>
                <w:sz w:val="16"/>
                <w:szCs w:val="16"/>
              </w:rPr>
            </w:pPr>
          </w:p>
        </w:tc>
        <w:tc>
          <w:tcPr>
            <w:tcW w:w="407" w:type="pct"/>
            <w:shd w:val="clear" w:color="auto" w:fill="BDD6EE" w:themeFill="accent1" w:themeFillTint="66"/>
          </w:tcPr>
          <w:p w14:paraId="61330177" w14:textId="77777777" w:rsidR="0004214F" w:rsidRPr="00112DBA" w:rsidRDefault="0004214F" w:rsidP="00C03446">
            <w:pPr>
              <w:rPr>
                <w:rFonts w:ascii="Arial" w:hAnsi="Arial" w:cs="Arial"/>
                <w:sz w:val="16"/>
                <w:szCs w:val="16"/>
              </w:rPr>
            </w:pPr>
          </w:p>
        </w:tc>
        <w:tc>
          <w:tcPr>
            <w:tcW w:w="305" w:type="pct"/>
            <w:shd w:val="clear" w:color="auto" w:fill="BDD6EE" w:themeFill="accent1" w:themeFillTint="66"/>
          </w:tcPr>
          <w:p w14:paraId="7CCC2B29" w14:textId="77777777" w:rsidR="0004214F" w:rsidRPr="00112DBA" w:rsidRDefault="0004214F" w:rsidP="00C03446">
            <w:pPr>
              <w:rPr>
                <w:rFonts w:ascii="Arial" w:hAnsi="Arial" w:cs="Arial"/>
                <w:sz w:val="16"/>
                <w:szCs w:val="16"/>
              </w:rPr>
            </w:pPr>
          </w:p>
        </w:tc>
        <w:tc>
          <w:tcPr>
            <w:tcW w:w="356" w:type="pct"/>
            <w:shd w:val="clear" w:color="auto" w:fill="BDD6EE" w:themeFill="accent1" w:themeFillTint="66"/>
          </w:tcPr>
          <w:p w14:paraId="3FA0CA8B" w14:textId="77777777" w:rsidR="0004214F" w:rsidRPr="00112DBA" w:rsidRDefault="0004214F" w:rsidP="00C03446">
            <w:pPr>
              <w:rPr>
                <w:rFonts w:ascii="Arial" w:hAnsi="Arial" w:cs="Arial"/>
                <w:sz w:val="16"/>
                <w:szCs w:val="16"/>
              </w:rPr>
            </w:pPr>
          </w:p>
        </w:tc>
        <w:tc>
          <w:tcPr>
            <w:tcW w:w="305" w:type="pct"/>
            <w:shd w:val="clear" w:color="auto" w:fill="BDD6EE" w:themeFill="accent1" w:themeFillTint="66"/>
          </w:tcPr>
          <w:p w14:paraId="70364EE0" w14:textId="207EA065" w:rsidR="0004214F" w:rsidRDefault="0004214F" w:rsidP="00C03446">
            <w:pPr>
              <w:rPr>
                <w:rFonts w:ascii="Arial" w:hAnsi="Arial" w:cs="Arial"/>
                <w:sz w:val="16"/>
                <w:szCs w:val="16"/>
              </w:rPr>
            </w:pPr>
            <w:r w:rsidRPr="00112DBA">
              <w:rPr>
                <w:rFonts w:ascii="Arial" w:hAnsi="Arial" w:cs="Arial"/>
                <w:sz w:val="16"/>
                <w:szCs w:val="16"/>
              </w:rPr>
              <w:t xml:space="preserve">Date </w:t>
            </w:r>
          </w:p>
          <w:p w14:paraId="6E7CD1FF" w14:textId="77777777" w:rsidR="0004214F" w:rsidRPr="00112DBA" w:rsidRDefault="0004214F" w:rsidP="00C03446">
            <w:pPr>
              <w:rPr>
                <w:rFonts w:ascii="Arial" w:hAnsi="Arial" w:cs="Arial"/>
                <w:sz w:val="16"/>
                <w:szCs w:val="16"/>
              </w:rPr>
            </w:pPr>
            <w:r>
              <w:rPr>
                <w:rFonts w:ascii="Arial" w:hAnsi="Arial" w:cs="Arial"/>
                <w:sz w:val="16"/>
                <w:szCs w:val="16"/>
              </w:rPr>
              <w:t>(YYYY/MM/DD)</w:t>
            </w:r>
          </w:p>
        </w:tc>
        <w:tc>
          <w:tcPr>
            <w:tcW w:w="508" w:type="pct"/>
            <w:shd w:val="clear" w:color="auto" w:fill="BDD6EE" w:themeFill="accent1" w:themeFillTint="66"/>
          </w:tcPr>
          <w:p w14:paraId="45910FC2" w14:textId="373F6226" w:rsidR="0004214F" w:rsidRPr="00112DBA" w:rsidRDefault="0004214F" w:rsidP="0004214F">
            <w:pPr>
              <w:rPr>
                <w:rFonts w:ascii="Arial" w:hAnsi="Arial" w:cs="Arial"/>
                <w:sz w:val="16"/>
                <w:szCs w:val="16"/>
              </w:rPr>
            </w:pPr>
            <w:r w:rsidRPr="00112DBA">
              <w:rPr>
                <w:rFonts w:ascii="Arial" w:hAnsi="Arial" w:cs="Arial"/>
                <w:sz w:val="16"/>
                <w:szCs w:val="16"/>
              </w:rPr>
              <w:t>Specify</w:t>
            </w:r>
            <w:r>
              <w:rPr>
                <w:rFonts w:ascii="Arial" w:hAnsi="Arial" w:cs="Arial"/>
                <w:sz w:val="16"/>
                <w:szCs w:val="16"/>
              </w:rPr>
              <w:t xml:space="preserve"> the type of decision and</w:t>
            </w:r>
            <w:r w:rsidRPr="00112DBA">
              <w:rPr>
                <w:rFonts w:ascii="Arial" w:hAnsi="Arial" w:cs="Arial"/>
                <w:sz w:val="16"/>
                <w:szCs w:val="16"/>
              </w:rPr>
              <w:t xml:space="preserve"> if </w:t>
            </w:r>
            <w:r>
              <w:rPr>
                <w:rFonts w:ascii="Arial" w:hAnsi="Arial" w:cs="Arial"/>
                <w:sz w:val="16"/>
                <w:szCs w:val="16"/>
              </w:rPr>
              <w:t xml:space="preserve">made under Art 16, 19, 54 or </w:t>
            </w:r>
            <w:r w:rsidRPr="00112DBA">
              <w:rPr>
                <w:rFonts w:ascii="Arial" w:hAnsi="Arial" w:cs="Arial"/>
                <w:sz w:val="16"/>
                <w:szCs w:val="16"/>
              </w:rPr>
              <w:t>56 of CSDR</w:t>
            </w:r>
          </w:p>
        </w:tc>
        <w:tc>
          <w:tcPr>
            <w:tcW w:w="1270" w:type="pct"/>
            <w:shd w:val="clear" w:color="auto" w:fill="BDD6EE" w:themeFill="accent1" w:themeFillTint="66"/>
          </w:tcPr>
          <w:p w14:paraId="69166382" w14:textId="77777777" w:rsidR="0004214F" w:rsidRPr="00112DBA" w:rsidRDefault="0004214F" w:rsidP="00C03446">
            <w:pPr>
              <w:rPr>
                <w:rFonts w:ascii="Arial" w:hAnsi="Arial" w:cs="Arial"/>
                <w:sz w:val="16"/>
                <w:szCs w:val="16"/>
              </w:rPr>
            </w:pPr>
            <w:r w:rsidRPr="00112DBA">
              <w:rPr>
                <w:rFonts w:ascii="Arial" w:hAnsi="Arial" w:cs="Arial"/>
                <w:sz w:val="16"/>
                <w:szCs w:val="16"/>
              </w:rPr>
              <w:t xml:space="preserve">Services covered </w:t>
            </w:r>
            <w:r>
              <w:rPr>
                <w:rFonts w:ascii="Arial" w:hAnsi="Arial" w:cs="Arial"/>
                <w:sz w:val="16"/>
                <w:szCs w:val="16"/>
              </w:rPr>
              <w:t>(Annex to CSDR)</w:t>
            </w:r>
          </w:p>
        </w:tc>
        <w:tc>
          <w:tcPr>
            <w:tcW w:w="407" w:type="pct"/>
            <w:shd w:val="clear" w:color="auto" w:fill="BDD6EE" w:themeFill="accent1" w:themeFillTint="66"/>
          </w:tcPr>
          <w:p w14:paraId="22D58DDB" w14:textId="396ED666" w:rsidR="009C142D" w:rsidRDefault="0004214F" w:rsidP="00C03446">
            <w:pPr>
              <w:rPr>
                <w:rFonts w:ascii="Arial" w:hAnsi="Arial" w:cs="Arial"/>
                <w:sz w:val="16"/>
                <w:szCs w:val="16"/>
              </w:rPr>
            </w:pPr>
            <w:r>
              <w:rPr>
                <w:rFonts w:ascii="Arial" w:hAnsi="Arial" w:cs="Arial"/>
                <w:sz w:val="16"/>
                <w:szCs w:val="16"/>
              </w:rPr>
              <w:t>I</w:t>
            </w:r>
            <w:r w:rsidRPr="00112DBA">
              <w:rPr>
                <w:rFonts w:ascii="Arial" w:hAnsi="Arial" w:cs="Arial"/>
                <w:sz w:val="16"/>
                <w:szCs w:val="16"/>
              </w:rPr>
              <w:t>f applicable</w:t>
            </w:r>
            <w:r>
              <w:rPr>
                <w:rFonts w:ascii="Arial" w:hAnsi="Arial" w:cs="Arial"/>
                <w:sz w:val="16"/>
                <w:szCs w:val="16"/>
              </w:rPr>
              <w:t>,</w:t>
            </w:r>
            <w:r w:rsidRPr="00112DBA">
              <w:rPr>
                <w:rFonts w:ascii="Arial" w:hAnsi="Arial" w:cs="Arial"/>
                <w:sz w:val="16"/>
                <w:szCs w:val="16"/>
              </w:rPr>
              <w:t xml:space="preserve"> </w:t>
            </w:r>
            <w:r>
              <w:rPr>
                <w:rFonts w:ascii="Arial" w:hAnsi="Arial" w:cs="Arial"/>
                <w:sz w:val="16"/>
                <w:szCs w:val="16"/>
              </w:rPr>
              <w:t>n</w:t>
            </w:r>
            <w:r w:rsidRPr="00112DBA">
              <w:rPr>
                <w:rFonts w:ascii="Arial" w:hAnsi="Arial" w:cs="Arial"/>
                <w:sz w:val="16"/>
                <w:szCs w:val="16"/>
              </w:rPr>
              <w:t xml:space="preserve">ame </w:t>
            </w:r>
            <w:r w:rsidR="009C142D">
              <w:rPr>
                <w:rFonts w:ascii="Arial" w:hAnsi="Arial" w:cs="Arial"/>
                <w:sz w:val="16"/>
                <w:szCs w:val="16"/>
              </w:rPr>
              <w:t>of entity to which the services or</w:t>
            </w:r>
          </w:p>
          <w:p w14:paraId="1AF470DC" w14:textId="0A456237" w:rsidR="0004214F" w:rsidRPr="00112DBA" w:rsidRDefault="0004214F" w:rsidP="00C03446">
            <w:pPr>
              <w:rPr>
                <w:rFonts w:ascii="Arial" w:hAnsi="Arial" w:cs="Arial"/>
                <w:sz w:val="16"/>
                <w:szCs w:val="16"/>
              </w:rPr>
            </w:pPr>
            <w:r w:rsidRPr="00112DBA">
              <w:rPr>
                <w:rFonts w:ascii="Arial" w:hAnsi="Arial" w:cs="Arial"/>
                <w:sz w:val="16"/>
                <w:szCs w:val="16"/>
              </w:rPr>
              <w:t xml:space="preserve">activities are outsourced </w:t>
            </w:r>
          </w:p>
        </w:tc>
        <w:tc>
          <w:tcPr>
            <w:tcW w:w="304" w:type="pct"/>
            <w:shd w:val="clear" w:color="auto" w:fill="BDD6EE" w:themeFill="accent1" w:themeFillTint="66"/>
          </w:tcPr>
          <w:p w14:paraId="2E9A5A5A" w14:textId="77777777" w:rsidR="0004214F" w:rsidRPr="00112DBA" w:rsidRDefault="0004214F" w:rsidP="00C03446">
            <w:pPr>
              <w:rPr>
                <w:rFonts w:ascii="Arial" w:hAnsi="Arial" w:cs="Arial"/>
                <w:sz w:val="16"/>
                <w:szCs w:val="16"/>
              </w:rPr>
            </w:pPr>
            <w:r w:rsidRPr="00112DBA">
              <w:rPr>
                <w:rFonts w:ascii="Arial" w:hAnsi="Arial" w:cs="Arial"/>
                <w:sz w:val="16"/>
                <w:szCs w:val="16"/>
              </w:rPr>
              <w:t xml:space="preserve">Date </w:t>
            </w:r>
            <w:r>
              <w:rPr>
                <w:rFonts w:ascii="Arial" w:hAnsi="Arial" w:cs="Arial"/>
                <w:sz w:val="16"/>
                <w:szCs w:val="16"/>
              </w:rPr>
              <w:t>(YYYY/MM/DD)</w:t>
            </w:r>
          </w:p>
        </w:tc>
        <w:tc>
          <w:tcPr>
            <w:tcW w:w="408" w:type="pct"/>
            <w:shd w:val="clear" w:color="auto" w:fill="BDD6EE" w:themeFill="accent1" w:themeFillTint="66"/>
          </w:tcPr>
          <w:p w14:paraId="7288EB89" w14:textId="77777777" w:rsidR="0004214F" w:rsidRPr="00112DBA" w:rsidRDefault="0004214F" w:rsidP="00C03446">
            <w:pPr>
              <w:rPr>
                <w:rFonts w:ascii="Arial" w:hAnsi="Arial" w:cs="Arial"/>
                <w:sz w:val="16"/>
                <w:szCs w:val="16"/>
              </w:rPr>
            </w:pPr>
            <w:r w:rsidRPr="00112DBA">
              <w:rPr>
                <w:rFonts w:ascii="Arial" w:hAnsi="Arial" w:cs="Arial"/>
                <w:sz w:val="16"/>
                <w:szCs w:val="16"/>
              </w:rPr>
              <w:t>S</w:t>
            </w:r>
            <w:r>
              <w:rPr>
                <w:rFonts w:ascii="Arial" w:hAnsi="Arial" w:cs="Arial"/>
                <w:sz w:val="16"/>
                <w:szCs w:val="16"/>
              </w:rPr>
              <w:t>pecify if under Art 20 or</w:t>
            </w:r>
            <w:r w:rsidRPr="00112DBA">
              <w:rPr>
                <w:rFonts w:ascii="Arial" w:hAnsi="Arial" w:cs="Arial"/>
                <w:sz w:val="16"/>
                <w:szCs w:val="16"/>
              </w:rPr>
              <w:t xml:space="preserve"> Art 57 of CSDR</w:t>
            </w:r>
          </w:p>
        </w:tc>
        <w:tc>
          <w:tcPr>
            <w:tcW w:w="427" w:type="pct"/>
            <w:shd w:val="clear" w:color="auto" w:fill="BDD6EE" w:themeFill="accent1" w:themeFillTint="66"/>
          </w:tcPr>
          <w:p w14:paraId="09C0D37E" w14:textId="77777777" w:rsidR="0004214F" w:rsidRPr="00112DBA" w:rsidRDefault="0004214F" w:rsidP="00C03446">
            <w:pPr>
              <w:rPr>
                <w:rFonts w:ascii="Arial" w:hAnsi="Arial" w:cs="Arial"/>
                <w:sz w:val="16"/>
                <w:szCs w:val="16"/>
              </w:rPr>
            </w:pPr>
            <w:r w:rsidRPr="00112DBA">
              <w:rPr>
                <w:rFonts w:ascii="Arial" w:hAnsi="Arial" w:cs="Arial"/>
                <w:sz w:val="16"/>
                <w:szCs w:val="16"/>
              </w:rPr>
              <w:t xml:space="preserve">Services for which authorisation is withdrawn </w:t>
            </w:r>
          </w:p>
        </w:tc>
      </w:tr>
      <w:tr w:rsidR="0004214F" w:rsidRPr="00112DBA" w14:paraId="1076B907" w14:textId="77777777" w:rsidTr="00D60D99">
        <w:tc>
          <w:tcPr>
            <w:tcW w:w="303" w:type="pct"/>
            <w:shd w:val="clear" w:color="auto" w:fill="auto"/>
          </w:tcPr>
          <w:p w14:paraId="1A160FAE" w14:textId="77777777" w:rsidR="0004214F" w:rsidRDefault="0004214F" w:rsidP="00C03446">
            <w:pPr>
              <w:rPr>
                <w:rFonts w:ascii="Arial" w:hAnsi="Arial" w:cs="Arial"/>
              </w:rPr>
            </w:pPr>
          </w:p>
          <w:p w14:paraId="5B643BA2" w14:textId="77777777" w:rsidR="0004214F" w:rsidRDefault="0004214F" w:rsidP="00C03446">
            <w:pPr>
              <w:rPr>
                <w:rFonts w:ascii="Arial" w:hAnsi="Arial" w:cs="Arial"/>
              </w:rPr>
            </w:pPr>
          </w:p>
          <w:p w14:paraId="2F50A340" w14:textId="77777777" w:rsidR="0004214F" w:rsidRDefault="0004214F" w:rsidP="00C03446">
            <w:pPr>
              <w:rPr>
                <w:rFonts w:ascii="Arial" w:hAnsi="Arial" w:cs="Arial"/>
              </w:rPr>
            </w:pPr>
          </w:p>
          <w:p w14:paraId="43938938" w14:textId="77777777" w:rsidR="0004214F" w:rsidRPr="00112DBA" w:rsidRDefault="0004214F" w:rsidP="00C03446">
            <w:pPr>
              <w:rPr>
                <w:rFonts w:ascii="Arial" w:hAnsi="Arial" w:cs="Arial"/>
              </w:rPr>
            </w:pPr>
          </w:p>
        </w:tc>
        <w:tc>
          <w:tcPr>
            <w:tcW w:w="407" w:type="pct"/>
            <w:shd w:val="clear" w:color="auto" w:fill="auto"/>
          </w:tcPr>
          <w:p w14:paraId="0E040150" w14:textId="77777777" w:rsidR="0004214F" w:rsidRPr="00112DBA" w:rsidRDefault="0004214F" w:rsidP="00C03446">
            <w:pPr>
              <w:rPr>
                <w:rFonts w:ascii="Arial" w:hAnsi="Arial" w:cs="Arial"/>
              </w:rPr>
            </w:pPr>
          </w:p>
        </w:tc>
        <w:tc>
          <w:tcPr>
            <w:tcW w:w="305" w:type="pct"/>
            <w:shd w:val="clear" w:color="auto" w:fill="auto"/>
          </w:tcPr>
          <w:p w14:paraId="4AB316FB" w14:textId="77777777" w:rsidR="0004214F" w:rsidRPr="00112DBA" w:rsidRDefault="0004214F" w:rsidP="00C03446">
            <w:pPr>
              <w:rPr>
                <w:rFonts w:ascii="Arial" w:hAnsi="Arial" w:cs="Arial"/>
              </w:rPr>
            </w:pPr>
          </w:p>
        </w:tc>
        <w:tc>
          <w:tcPr>
            <w:tcW w:w="356" w:type="pct"/>
          </w:tcPr>
          <w:p w14:paraId="53856882" w14:textId="77777777" w:rsidR="0004214F" w:rsidRPr="00112DBA" w:rsidRDefault="0004214F" w:rsidP="00C03446">
            <w:pPr>
              <w:rPr>
                <w:rFonts w:ascii="Arial" w:hAnsi="Arial" w:cs="Arial"/>
              </w:rPr>
            </w:pPr>
          </w:p>
        </w:tc>
        <w:tc>
          <w:tcPr>
            <w:tcW w:w="305" w:type="pct"/>
          </w:tcPr>
          <w:p w14:paraId="73DA6CBC" w14:textId="77777777" w:rsidR="0004214F" w:rsidRPr="00112DBA" w:rsidRDefault="0004214F" w:rsidP="00C03446">
            <w:pPr>
              <w:rPr>
                <w:rFonts w:ascii="Arial" w:hAnsi="Arial" w:cs="Arial"/>
              </w:rPr>
            </w:pPr>
          </w:p>
        </w:tc>
        <w:tc>
          <w:tcPr>
            <w:tcW w:w="508" w:type="pct"/>
          </w:tcPr>
          <w:p w14:paraId="1D8A51E0" w14:textId="77777777" w:rsidR="0004214F" w:rsidRPr="00112DBA" w:rsidRDefault="0004214F" w:rsidP="00C03446">
            <w:pPr>
              <w:rPr>
                <w:rFonts w:ascii="Arial" w:hAnsi="Arial" w:cs="Arial"/>
              </w:rPr>
            </w:pPr>
          </w:p>
        </w:tc>
        <w:tc>
          <w:tcPr>
            <w:tcW w:w="1270" w:type="pct"/>
          </w:tcPr>
          <w:p w14:paraId="5E73AF4D" w14:textId="77777777" w:rsidR="0004214F" w:rsidRDefault="0004214F" w:rsidP="00C03446">
            <w:pPr>
              <w:pStyle w:val="ListParagraph"/>
              <w:numPr>
                <w:ilvl w:val="0"/>
                <w:numId w:val="10"/>
              </w:numPr>
              <w:spacing w:after="0" w:line="240" w:lineRule="auto"/>
              <w:rPr>
                <w:rFonts w:ascii="Arial" w:hAnsi="Arial" w:cs="Arial"/>
                <w:sz w:val="16"/>
                <w:szCs w:val="16"/>
              </w:rPr>
            </w:pPr>
            <w:r>
              <w:rPr>
                <w:rFonts w:ascii="Arial" w:hAnsi="Arial" w:cs="Arial"/>
                <w:sz w:val="16"/>
                <w:szCs w:val="16"/>
              </w:rPr>
              <w:t>Core s</w:t>
            </w:r>
            <w:r w:rsidRPr="008072B1">
              <w:rPr>
                <w:rFonts w:ascii="Arial" w:hAnsi="Arial" w:cs="Arial"/>
                <w:sz w:val="16"/>
                <w:szCs w:val="16"/>
              </w:rPr>
              <w:t xml:space="preserve">ervices referred to in </w:t>
            </w:r>
            <w:r>
              <w:rPr>
                <w:rFonts w:ascii="Arial" w:hAnsi="Arial" w:cs="Arial"/>
                <w:sz w:val="16"/>
                <w:szCs w:val="16"/>
              </w:rPr>
              <w:t>Section</w:t>
            </w:r>
            <w:r w:rsidRPr="008072B1">
              <w:rPr>
                <w:rFonts w:ascii="Arial" w:hAnsi="Arial" w:cs="Arial"/>
                <w:sz w:val="16"/>
                <w:szCs w:val="16"/>
              </w:rPr>
              <w:t xml:space="preserve"> A</w:t>
            </w:r>
            <w:r>
              <w:rPr>
                <w:rFonts w:ascii="Arial" w:hAnsi="Arial" w:cs="Arial"/>
                <w:sz w:val="16"/>
                <w:szCs w:val="16"/>
              </w:rPr>
              <w:t>:</w:t>
            </w:r>
          </w:p>
          <w:p w14:paraId="17190E44" w14:textId="20AC5D60" w:rsidR="0004214F" w:rsidRPr="009C142D" w:rsidRDefault="0004214F" w:rsidP="009C142D">
            <w:pPr>
              <w:rPr>
                <w:rFonts w:ascii="Arial" w:hAnsi="Arial" w:cs="Arial"/>
                <w:sz w:val="16"/>
                <w:szCs w:val="16"/>
              </w:rPr>
            </w:pPr>
          </w:p>
          <w:p w14:paraId="374512C2" w14:textId="77777777" w:rsidR="0004214F" w:rsidRDefault="0004214F" w:rsidP="00C03446">
            <w:pPr>
              <w:pStyle w:val="ListParagraph"/>
              <w:numPr>
                <w:ilvl w:val="0"/>
                <w:numId w:val="10"/>
              </w:numPr>
              <w:spacing w:after="0" w:line="240" w:lineRule="auto"/>
              <w:rPr>
                <w:rFonts w:ascii="Arial" w:hAnsi="Arial" w:cs="Arial"/>
                <w:sz w:val="16"/>
                <w:szCs w:val="16"/>
              </w:rPr>
            </w:pPr>
            <w:r>
              <w:rPr>
                <w:rFonts w:ascii="Arial" w:hAnsi="Arial" w:cs="Arial"/>
                <w:sz w:val="16"/>
                <w:szCs w:val="16"/>
              </w:rPr>
              <w:t>Ancillary s</w:t>
            </w:r>
            <w:r w:rsidRPr="008072B1">
              <w:rPr>
                <w:rFonts w:ascii="Arial" w:hAnsi="Arial" w:cs="Arial"/>
                <w:sz w:val="16"/>
                <w:szCs w:val="16"/>
              </w:rPr>
              <w:t xml:space="preserve">ervices referred to in </w:t>
            </w:r>
            <w:r>
              <w:rPr>
                <w:rFonts w:ascii="Arial" w:hAnsi="Arial" w:cs="Arial"/>
                <w:sz w:val="16"/>
                <w:szCs w:val="16"/>
              </w:rPr>
              <w:t>Section</w:t>
            </w:r>
            <w:r w:rsidRPr="008072B1">
              <w:rPr>
                <w:rFonts w:ascii="Arial" w:hAnsi="Arial" w:cs="Arial"/>
                <w:sz w:val="16"/>
                <w:szCs w:val="16"/>
              </w:rPr>
              <w:t xml:space="preserve"> B</w:t>
            </w:r>
            <w:r>
              <w:rPr>
                <w:rFonts w:ascii="Arial" w:hAnsi="Arial" w:cs="Arial"/>
                <w:sz w:val="16"/>
                <w:szCs w:val="16"/>
              </w:rPr>
              <w:t>:</w:t>
            </w:r>
          </w:p>
          <w:p w14:paraId="6FED5DF6" w14:textId="77777777" w:rsidR="0004214F" w:rsidRPr="008072B1" w:rsidRDefault="0004214F" w:rsidP="00C03446">
            <w:pPr>
              <w:pStyle w:val="ListParagraph"/>
              <w:spacing w:after="0" w:line="240" w:lineRule="auto"/>
              <w:ind w:left="360"/>
              <w:rPr>
                <w:rFonts w:ascii="Arial" w:hAnsi="Arial" w:cs="Arial"/>
                <w:sz w:val="16"/>
                <w:szCs w:val="16"/>
              </w:rPr>
            </w:pPr>
          </w:p>
          <w:p w14:paraId="003A9D22" w14:textId="77777777" w:rsidR="0004214F" w:rsidRDefault="0004214F" w:rsidP="00C03446">
            <w:pPr>
              <w:pStyle w:val="ListParagraph"/>
              <w:numPr>
                <w:ilvl w:val="0"/>
                <w:numId w:val="10"/>
              </w:numPr>
              <w:spacing w:after="0" w:line="240" w:lineRule="auto"/>
              <w:rPr>
                <w:rFonts w:ascii="Arial" w:hAnsi="Arial" w:cs="Arial"/>
                <w:sz w:val="16"/>
                <w:szCs w:val="16"/>
              </w:rPr>
            </w:pPr>
            <w:r>
              <w:rPr>
                <w:rFonts w:ascii="Arial" w:hAnsi="Arial" w:cs="Arial"/>
                <w:sz w:val="16"/>
                <w:szCs w:val="16"/>
              </w:rPr>
              <w:t>Ancillary s</w:t>
            </w:r>
            <w:r w:rsidRPr="005B0E78">
              <w:rPr>
                <w:rFonts w:ascii="Arial" w:hAnsi="Arial" w:cs="Arial"/>
                <w:sz w:val="16"/>
                <w:szCs w:val="16"/>
              </w:rPr>
              <w:t xml:space="preserve">ervices allowed but not explicitly listed in </w:t>
            </w:r>
            <w:r>
              <w:rPr>
                <w:rFonts w:ascii="Arial" w:hAnsi="Arial" w:cs="Arial"/>
                <w:sz w:val="16"/>
                <w:szCs w:val="16"/>
              </w:rPr>
              <w:t>Section</w:t>
            </w:r>
            <w:r w:rsidRPr="005B0E78">
              <w:rPr>
                <w:rFonts w:ascii="Arial" w:hAnsi="Arial" w:cs="Arial"/>
                <w:sz w:val="16"/>
                <w:szCs w:val="16"/>
              </w:rPr>
              <w:t xml:space="preserve"> B</w:t>
            </w:r>
            <w:r>
              <w:rPr>
                <w:rFonts w:ascii="Arial" w:hAnsi="Arial" w:cs="Arial"/>
                <w:sz w:val="16"/>
                <w:szCs w:val="16"/>
              </w:rPr>
              <w:t>:</w:t>
            </w:r>
          </w:p>
          <w:p w14:paraId="63AAD114" w14:textId="77777777" w:rsidR="0004214F" w:rsidRDefault="0004214F" w:rsidP="00C03446">
            <w:pPr>
              <w:pStyle w:val="ListParagraph"/>
              <w:spacing w:after="0" w:line="240" w:lineRule="auto"/>
              <w:ind w:left="360"/>
              <w:rPr>
                <w:rFonts w:ascii="Arial" w:hAnsi="Arial" w:cs="Arial"/>
                <w:sz w:val="16"/>
                <w:szCs w:val="16"/>
              </w:rPr>
            </w:pPr>
          </w:p>
          <w:p w14:paraId="2B23E128" w14:textId="77777777" w:rsidR="0004214F" w:rsidRDefault="0004214F" w:rsidP="00C03446">
            <w:pPr>
              <w:pStyle w:val="ListParagraph"/>
              <w:numPr>
                <w:ilvl w:val="0"/>
                <w:numId w:val="10"/>
              </w:numPr>
              <w:spacing w:after="0" w:line="240" w:lineRule="auto"/>
              <w:rPr>
                <w:rFonts w:ascii="Arial" w:hAnsi="Arial" w:cs="Arial"/>
                <w:sz w:val="16"/>
                <w:szCs w:val="16"/>
              </w:rPr>
            </w:pPr>
            <w:r>
              <w:rPr>
                <w:rFonts w:ascii="Arial" w:hAnsi="Arial" w:cs="Arial"/>
                <w:sz w:val="16"/>
                <w:szCs w:val="16"/>
              </w:rPr>
              <w:t>Banking-type ancillary s</w:t>
            </w:r>
            <w:r w:rsidRPr="008072B1">
              <w:rPr>
                <w:rFonts w:ascii="Arial" w:hAnsi="Arial" w:cs="Arial"/>
                <w:sz w:val="16"/>
                <w:szCs w:val="16"/>
              </w:rPr>
              <w:t xml:space="preserve">ervices referred to in </w:t>
            </w:r>
            <w:r>
              <w:rPr>
                <w:rFonts w:ascii="Arial" w:hAnsi="Arial" w:cs="Arial"/>
                <w:sz w:val="16"/>
                <w:szCs w:val="16"/>
              </w:rPr>
              <w:t>Section</w:t>
            </w:r>
            <w:r w:rsidRPr="008072B1">
              <w:rPr>
                <w:rFonts w:ascii="Arial" w:hAnsi="Arial" w:cs="Arial"/>
                <w:sz w:val="16"/>
                <w:szCs w:val="16"/>
              </w:rPr>
              <w:t xml:space="preserve"> </w:t>
            </w:r>
            <w:r>
              <w:rPr>
                <w:rFonts w:ascii="Arial" w:hAnsi="Arial" w:cs="Arial"/>
                <w:sz w:val="16"/>
                <w:szCs w:val="16"/>
              </w:rPr>
              <w:t>C:</w:t>
            </w:r>
          </w:p>
          <w:p w14:paraId="1A818B2F" w14:textId="77777777" w:rsidR="0004214F" w:rsidRDefault="0004214F" w:rsidP="00C03446">
            <w:pPr>
              <w:pStyle w:val="ListParagraph"/>
              <w:spacing w:after="0" w:line="240" w:lineRule="auto"/>
              <w:ind w:left="360"/>
              <w:rPr>
                <w:rFonts w:ascii="Arial" w:hAnsi="Arial" w:cs="Arial"/>
                <w:sz w:val="16"/>
                <w:szCs w:val="16"/>
              </w:rPr>
            </w:pPr>
          </w:p>
          <w:p w14:paraId="76C540C5" w14:textId="77777777" w:rsidR="0004214F" w:rsidRDefault="0004214F" w:rsidP="00C03446">
            <w:pPr>
              <w:pStyle w:val="ListParagraph"/>
              <w:numPr>
                <w:ilvl w:val="0"/>
                <w:numId w:val="10"/>
              </w:numPr>
              <w:spacing w:after="0" w:line="240" w:lineRule="auto"/>
              <w:rPr>
                <w:rFonts w:ascii="Arial" w:hAnsi="Arial" w:cs="Arial"/>
                <w:sz w:val="16"/>
                <w:szCs w:val="16"/>
              </w:rPr>
            </w:pPr>
            <w:r>
              <w:rPr>
                <w:rFonts w:ascii="Arial" w:hAnsi="Arial" w:cs="Arial"/>
                <w:sz w:val="16"/>
                <w:szCs w:val="16"/>
              </w:rPr>
              <w:t>Banking-type ancillary s</w:t>
            </w:r>
            <w:r w:rsidRPr="005B0E78">
              <w:rPr>
                <w:rFonts w:ascii="Arial" w:hAnsi="Arial" w:cs="Arial"/>
                <w:sz w:val="16"/>
                <w:szCs w:val="16"/>
              </w:rPr>
              <w:t xml:space="preserve">ervices allowed but not explicitly listed </w:t>
            </w:r>
            <w:r>
              <w:rPr>
                <w:rFonts w:ascii="Arial" w:hAnsi="Arial" w:cs="Arial"/>
                <w:sz w:val="16"/>
                <w:szCs w:val="16"/>
              </w:rPr>
              <w:t>in Section C:</w:t>
            </w:r>
          </w:p>
          <w:p w14:paraId="0852B656" w14:textId="77777777" w:rsidR="0004214F" w:rsidRPr="00112DBA" w:rsidRDefault="0004214F" w:rsidP="00C03446">
            <w:pPr>
              <w:rPr>
                <w:rFonts w:ascii="Arial" w:hAnsi="Arial" w:cs="Arial"/>
              </w:rPr>
            </w:pPr>
          </w:p>
        </w:tc>
        <w:tc>
          <w:tcPr>
            <w:tcW w:w="407" w:type="pct"/>
          </w:tcPr>
          <w:p w14:paraId="6829C2F4" w14:textId="77777777" w:rsidR="0004214F" w:rsidRPr="00112DBA" w:rsidRDefault="0004214F" w:rsidP="00C03446">
            <w:pPr>
              <w:rPr>
                <w:rFonts w:ascii="Arial" w:hAnsi="Arial" w:cs="Arial"/>
              </w:rPr>
            </w:pPr>
          </w:p>
        </w:tc>
        <w:tc>
          <w:tcPr>
            <w:tcW w:w="304" w:type="pct"/>
          </w:tcPr>
          <w:p w14:paraId="2528EFF2" w14:textId="77777777" w:rsidR="0004214F" w:rsidRPr="00112DBA" w:rsidRDefault="0004214F" w:rsidP="00C03446">
            <w:pPr>
              <w:rPr>
                <w:rFonts w:ascii="Arial" w:hAnsi="Arial" w:cs="Arial"/>
              </w:rPr>
            </w:pPr>
          </w:p>
        </w:tc>
        <w:tc>
          <w:tcPr>
            <w:tcW w:w="408" w:type="pct"/>
          </w:tcPr>
          <w:p w14:paraId="2E89E092" w14:textId="77777777" w:rsidR="0004214F" w:rsidRPr="00112DBA" w:rsidRDefault="0004214F" w:rsidP="00C03446">
            <w:pPr>
              <w:rPr>
                <w:rFonts w:ascii="Arial" w:hAnsi="Arial" w:cs="Arial"/>
              </w:rPr>
            </w:pPr>
          </w:p>
        </w:tc>
        <w:tc>
          <w:tcPr>
            <w:tcW w:w="427" w:type="pct"/>
          </w:tcPr>
          <w:p w14:paraId="7A7909B7" w14:textId="77777777" w:rsidR="0004214F" w:rsidRPr="00112DBA" w:rsidRDefault="0004214F" w:rsidP="00C03446">
            <w:pPr>
              <w:rPr>
                <w:rFonts w:ascii="Arial" w:hAnsi="Arial" w:cs="Arial"/>
              </w:rPr>
            </w:pPr>
          </w:p>
        </w:tc>
      </w:tr>
    </w:tbl>
    <w:p w14:paraId="35A50BA6" w14:textId="77777777" w:rsidR="002F73BB" w:rsidRDefault="002F73BB" w:rsidP="002F73BB">
      <w:pPr>
        <w:rPr>
          <w:rFonts w:ascii="Arial" w:hAnsi="Arial" w:cs="Arial"/>
          <w:b/>
          <w:sz w:val="28"/>
          <w:szCs w:val="28"/>
        </w:rPr>
      </w:pPr>
    </w:p>
    <w:p w14:paraId="17BCAB6F" w14:textId="77777777" w:rsidR="002F73BB" w:rsidRDefault="002F73BB" w:rsidP="002F73BB">
      <w:pPr>
        <w:rPr>
          <w:rFonts w:ascii="Arial" w:hAnsi="Arial" w:cs="Arial"/>
          <w:b/>
          <w:sz w:val="28"/>
          <w:szCs w:val="28"/>
        </w:rPr>
      </w:pPr>
      <w:r>
        <w:rPr>
          <w:rFonts w:ascii="Arial" w:hAnsi="Arial" w:cs="Arial"/>
          <w:b/>
          <w:sz w:val="28"/>
          <w:szCs w:val="28"/>
        </w:rPr>
        <w:br w:type="page"/>
      </w:r>
    </w:p>
    <w:p w14:paraId="3C0989C8" w14:textId="77777777" w:rsidR="002F73BB" w:rsidRPr="00A06325" w:rsidRDefault="002F73BB" w:rsidP="002F73BB">
      <w:pPr>
        <w:rPr>
          <w:rFonts w:ascii="Arial" w:hAnsi="Arial" w:cs="Arial"/>
          <w:b/>
          <w:sz w:val="28"/>
          <w:szCs w:val="28"/>
        </w:rPr>
      </w:pPr>
    </w:p>
    <w:tbl>
      <w:tblPr>
        <w:tblStyle w:val="TableGrid"/>
        <w:tblW w:w="5000" w:type="pct"/>
        <w:tblLayout w:type="fixed"/>
        <w:tblLook w:val="04A0" w:firstRow="1" w:lastRow="0" w:firstColumn="1" w:lastColumn="0" w:noHBand="0" w:noVBand="1"/>
      </w:tblPr>
      <w:tblGrid>
        <w:gridCol w:w="1296"/>
        <w:gridCol w:w="1562"/>
        <w:gridCol w:w="1177"/>
        <w:gridCol w:w="1174"/>
        <w:gridCol w:w="1041"/>
        <w:gridCol w:w="1306"/>
        <w:gridCol w:w="1306"/>
        <w:gridCol w:w="1041"/>
        <w:gridCol w:w="1177"/>
        <w:gridCol w:w="1434"/>
        <w:gridCol w:w="1434"/>
      </w:tblGrid>
      <w:tr w:rsidR="00DA468C" w:rsidRPr="00A06325" w14:paraId="6A16B461" w14:textId="77777777" w:rsidTr="00DA468C">
        <w:trPr>
          <w:trHeight w:val="70"/>
        </w:trPr>
        <w:tc>
          <w:tcPr>
            <w:tcW w:w="5000" w:type="pct"/>
            <w:gridSpan w:val="11"/>
            <w:shd w:val="clear" w:color="auto" w:fill="2E74B5" w:themeFill="accent1" w:themeFillShade="BF"/>
          </w:tcPr>
          <w:p w14:paraId="3A832169" w14:textId="77777777" w:rsidR="00DA468C" w:rsidRDefault="00DA468C" w:rsidP="00C03446">
            <w:pPr>
              <w:pStyle w:val="Heading1"/>
              <w:outlineLvl w:val="0"/>
              <w:rPr>
                <w:rFonts w:ascii="Arial" w:hAnsi="Arial" w:cs="Arial"/>
                <w:b/>
                <w:color w:val="auto"/>
                <w:sz w:val="28"/>
              </w:rPr>
            </w:pPr>
            <w:bookmarkStart w:id="2" w:name="_Toc491176580"/>
            <w:r>
              <w:rPr>
                <w:rFonts w:ascii="Arial" w:hAnsi="Arial" w:cs="Arial"/>
                <w:b/>
                <w:color w:val="auto"/>
                <w:sz w:val="28"/>
              </w:rPr>
              <w:t xml:space="preserve">II. </w:t>
            </w:r>
            <w:r w:rsidRPr="00A06325">
              <w:rPr>
                <w:rFonts w:ascii="Arial" w:hAnsi="Arial" w:cs="Arial"/>
                <w:b/>
                <w:color w:val="auto"/>
                <w:sz w:val="28"/>
              </w:rPr>
              <w:t xml:space="preserve">EU CSDs (authorised under Art 16/Art 54 of CSDR) – </w:t>
            </w:r>
            <w:r>
              <w:rPr>
                <w:rFonts w:ascii="Arial" w:hAnsi="Arial" w:cs="Arial"/>
                <w:b/>
                <w:color w:val="auto"/>
                <w:sz w:val="28"/>
              </w:rPr>
              <w:t>additional information on each CSD</w:t>
            </w:r>
            <w:bookmarkEnd w:id="2"/>
          </w:p>
          <w:p w14:paraId="620B6460" w14:textId="77777777" w:rsidR="00DA468C" w:rsidRDefault="00DA468C" w:rsidP="00C03446">
            <w:pPr>
              <w:pStyle w:val="Heading1"/>
              <w:outlineLvl w:val="0"/>
              <w:rPr>
                <w:rFonts w:ascii="Arial" w:hAnsi="Arial" w:cs="Arial"/>
                <w:b/>
                <w:color w:val="auto"/>
                <w:sz w:val="28"/>
              </w:rPr>
            </w:pPr>
          </w:p>
        </w:tc>
      </w:tr>
      <w:tr w:rsidR="00DA468C" w:rsidRPr="00112DBA" w14:paraId="180CB9E4" w14:textId="77777777" w:rsidTr="00DA468C">
        <w:trPr>
          <w:trHeight w:val="70"/>
        </w:trPr>
        <w:tc>
          <w:tcPr>
            <w:tcW w:w="5000" w:type="pct"/>
            <w:gridSpan w:val="11"/>
            <w:shd w:val="clear" w:color="auto" w:fill="auto"/>
          </w:tcPr>
          <w:p w14:paraId="32823099" w14:textId="77777777" w:rsidR="00DA468C" w:rsidRPr="002F4214" w:rsidRDefault="00DA468C" w:rsidP="00C03446">
            <w:pPr>
              <w:rPr>
                <w:rFonts w:ascii="Arial" w:hAnsi="Arial" w:cs="Arial"/>
                <w:b/>
              </w:rPr>
            </w:pPr>
          </w:p>
          <w:p w14:paraId="478F2942" w14:textId="77777777" w:rsidR="00DA468C" w:rsidRPr="00112DBA" w:rsidRDefault="00DA468C" w:rsidP="00C03446">
            <w:pPr>
              <w:rPr>
                <w:rFonts w:ascii="Arial" w:hAnsi="Arial" w:cs="Arial"/>
                <w:b/>
                <w:sz w:val="24"/>
                <w:szCs w:val="24"/>
              </w:rPr>
            </w:pPr>
            <w:r>
              <w:rPr>
                <w:rFonts w:ascii="Arial" w:hAnsi="Arial" w:cs="Arial"/>
                <w:b/>
                <w:sz w:val="24"/>
                <w:szCs w:val="24"/>
              </w:rPr>
              <w:t xml:space="preserve">[specify </w:t>
            </w:r>
            <w:r w:rsidRPr="00112DBA">
              <w:rPr>
                <w:rFonts w:ascii="Arial" w:hAnsi="Arial" w:cs="Arial"/>
                <w:b/>
                <w:sz w:val="24"/>
                <w:szCs w:val="24"/>
              </w:rPr>
              <w:t xml:space="preserve">CSD Name </w:t>
            </w:r>
            <w:r>
              <w:rPr>
                <w:rFonts w:ascii="Arial" w:hAnsi="Arial" w:cs="Arial"/>
                <w:b/>
                <w:sz w:val="24"/>
                <w:szCs w:val="24"/>
              </w:rPr>
              <w:t xml:space="preserve">- </w:t>
            </w:r>
            <w:r w:rsidRPr="00112DBA">
              <w:rPr>
                <w:rFonts w:ascii="Arial" w:hAnsi="Arial" w:cs="Arial"/>
                <w:b/>
                <w:sz w:val="24"/>
                <w:szCs w:val="24"/>
              </w:rPr>
              <w:t>Home Member State</w:t>
            </w:r>
            <w:r>
              <w:rPr>
                <w:rFonts w:ascii="Arial" w:hAnsi="Arial" w:cs="Arial"/>
                <w:b/>
                <w:sz w:val="24"/>
                <w:szCs w:val="24"/>
              </w:rPr>
              <w:t>]</w:t>
            </w:r>
          </w:p>
          <w:p w14:paraId="3E6A88BE" w14:textId="77777777" w:rsidR="00DA468C" w:rsidRPr="002F4214" w:rsidRDefault="00DA468C" w:rsidP="00C03446">
            <w:pPr>
              <w:rPr>
                <w:rFonts w:ascii="Arial" w:hAnsi="Arial" w:cs="Arial"/>
                <w:b/>
              </w:rPr>
            </w:pPr>
          </w:p>
        </w:tc>
      </w:tr>
      <w:tr w:rsidR="002F73BB" w:rsidRPr="00112DBA" w14:paraId="573D579E" w14:textId="77777777" w:rsidTr="00DA468C">
        <w:trPr>
          <w:trHeight w:val="70"/>
        </w:trPr>
        <w:tc>
          <w:tcPr>
            <w:tcW w:w="465" w:type="pct"/>
            <w:shd w:val="clear" w:color="auto" w:fill="BDD6EE" w:themeFill="accent1" w:themeFillTint="66"/>
            <w:vAlign w:val="center"/>
          </w:tcPr>
          <w:p w14:paraId="3B4423A4" w14:textId="77777777" w:rsidR="002F73BB" w:rsidRPr="00112DBA" w:rsidRDefault="002F73BB" w:rsidP="00C03446">
            <w:pPr>
              <w:jc w:val="center"/>
              <w:rPr>
                <w:rFonts w:ascii="Arial" w:hAnsi="Arial" w:cs="Arial"/>
                <w:b/>
                <w:sz w:val="20"/>
              </w:rPr>
            </w:pPr>
            <w:r w:rsidRPr="00112DBA">
              <w:rPr>
                <w:rFonts w:ascii="Arial" w:hAnsi="Arial" w:cs="Arial"/>
                <w:b/>
                <w:sz w:val="20"/>
              </w:rPr>
              <w:t>Securities settlement system(s) operated by the CSD</w:t>
            </w:r>
          </w:p>
        </w:tc>
        <w:tc>
          <w:tcPr>
            <w:tcW w:w="560" w:type="pct"/>
            <w:shd w:val="clear" w:color="auto" w:fill="BDD6EE" w:themeFill="accent1" w:themeFillTint="66"/>
          </w:tcPr>
          <w:p w14:paraId="40180CD1" w14:textId="77777777" w:rsidR="002F73BB" w:rsidRPr="00112DBA" w:rsidRDefault="002F73BB" w:rsidP="00C03446">
            <w:pPr>
              <w:jc w:val="center"/>
              <w:rPr>
                <w:rFonts w:ascii="Arial" w:hAnsi="Arial" w:cs="Arial"/>
                <w:b/>
                <w:sz w:val="20"/>
              </w:rPr>
            </w:pPr>
            <w:r w:rsidRPr="00112DBA">
              <w:rPr>
                <w:rFonts w:ascii="Arial" w:hAnsi="Arial" w:cs="Arial"/>
                <w:b/>
                <w:sz w:val="20"/>
              </w:rPr>
              <w:t>Classes of financial instruments</w:t>
            </w:r>
          </w:p>
        </w:tc>
        <w:tc>
          <w:tcPr>
            <w:tcW w:w="1216" w:type="pct"/>
            <w:gridSpan w:val="3"/>
            <w:shd w:val="clear" w:color="auto" w:fill="BDD6EE" w:themeFill="accent1" w:themeFillTint="66"/>
          </w:tcPr>
          <w:p w14:paraId="75B07747" w14:textId="77777777" w:rsidR="002F73BB" w:rsidRPr="00112DBA" w:rsidRDefault="002F73BB" w:rsidP="00C03446">
            <w:pPr>
              <w:jc w:val="center"/>
              <w:rPr>
                <w:rFonts w:ascii="Arial" w:hAnsi="Arial" w:cs="Arial"/>
                <w:b/>
                <w:sz w:val="20"/>
              </w:rPr>
            </w:pPr>
            <w:r w:rsidRPr="00112DBA">
              <w:rPr>
                <w:rFonts w:ascii="Arial" w:hAnsi="Arial" w:cs="Arial"/>
                <w:b/>
                <w:sz w:val="20"/>
              </w:rPr>
              <w:t>CSD links</w:t>
            </w:r>
          </w:p>
          <w:p w14:paraId="0DDCD854" w14:textId="77777777" w:rsidR="002F73BB" w:rsidRPr="00112DBA" w:rsidRDefault="002F73BB" w:rsidP="00C03446">
            <w:pPr>
              <w:jc w:val="center"/>
              <w:rPr>
                <w:rFonts w:ascii="Arial" w:hAnsi="Arial" w:cs="Arial"/>
                <w:b/>
                <w:sz w:val="20"/>
              </w:rPr>
            </w:pPr>
          </w:p>
        </w:tc>
        <w:tc>
          <w:tcPr>
            <w:tcW w:w="936" w:type="pct"/>
            <w:gridSpan w:val="2"/>
            <w:shd w:val="clear" w:color="auto" w:fill="BDD6EE" w:themeFill="accent1" w:themeFillTint="66"/>
          </w:tcPr>
          <w:p w14:paraId="6C63D9F7" w14:textId="77777777" w:rsidR="002F73BB" w:rsidRPr="00112DBA" w:rsidRDefault="002F73BB" w:rsidP="00C03446">
            <w:pPr>
              <w:jc w:val="center"/>
              <w:rPr>
                <w:rFonts w:ascii="Arial" w:hAnsi="Arial" w:cs="Arial"/>
                <w:b/>
                <w:sz w:val="20"/>
              </w:rPr>
            </w:pPr>
            <w:r w:rsidRPr="00112DBA">
              <w:rPr>
                <w:rFonts w:ascii="Arial" w:hAnsi="Arial" w:cs="Arial"/>
                <w:b/>
                <w:sz w:val="20"/>
              </w:rPr>
              <w:t>Designated credit institutions</w:t>
            </w:r>
          </w:p>
        </w:tc>
        <w:tc>
          <w:tcPr>
            <w:tcW w:w="1823" w:type="pct"/>
            <w:gridSpan w:val="4"/>
            <w:shd w:val="clear" w:color="auto" w:fill="BDD6EE" w:themeFill="accent1" w:themeFillTint="66"/>
          </w:tcPr>
          <w:p w14:paraId="4DADD58F" w14:textId="77777777" w:rsidR="002F73BB" w:rsidRDefault="002F73BB" w:rsidP="00C03446">
            <w:pPr>
              <w:jc w:val="center"/>
              <w:rPr>
                <w:rFonts w:ascii="Arial" w:hAnsi="Arial" w:cs="Arial"/>
                <w:b/>
                <w:sz w:val="20"/>
              </w:rPr>
            </w:pPr>
            <w:r w:rsidRPr="00112DBA">
              <w:rPr>
                <w:rFonts w:ascii="Arial" w:hAnsi="Arial" w:cs="Arial"/>
                <w:b/>
                <w:sz w:val="20"/>
              </w:rPr>
              <w:t xml:space="preserve">Services </w:t>
            </w:r>
          </w:p>
          <w:p w14:paraId="20E6C078" w14:textId="77777777" w:rsidR="002F73BB" w:rsidRDefault="002F73BB" w:rsidP="00C03446">
            <w:pPr>
              <w:jc w:val="center"/>
              <w:rPr>
                <w:rFonts w:ascii="Arial" w:hAnsi="Arial" w:cs="Arial"/>
                <w:b/>
                <w:sz w:val="20"/>
              </w:rPr>
            </w:pPr>
            <w:r w:rsidRPr="00112DBA">
              <w:rPr>
                <w:rFonts w:ascii="Arial" w:hAnsi="Arial" w:cs="Arial"/>
                <w:b/>
                <w:sz w:val="20"/>
              </w:rPr>
              <w:t xml:space="preserve">provided in </w:t>
            </w:r>
          </w:p>
          <w:p w14:paraId="4F727630" w14:textId="77777777" w:rsidR="002F73BB" w:rsidRPr="00112DBA" w:rsidRDefault="002F73BB" w:rsidP="00C03446">
            <w:pPr>
              <w:jc w:val="center"/>
              <w:rPr>
                <w:rFonts w:ascii="Arial" w:hAnsi="Arial" w:cs="Arial"/>
                <w:b/>
                <w:sz w:val="20"/>
              </w:rPr>
            </w:pPr>
            <w:r>
              <w:rPr>
                <w:rFonts w:ascii="Arial" w:hAnsi="Arial" w:cs="Arial"/>
                <w:b/>
                <w:sz w:val="20"/>
              </w:rPr>
              <w:t>h</w:t>
            </w:r>
            <w:r w:rsidRPr="00112DBA">
              <w:rPr>
                <w:rFonts w:ascii="Arial" w:hAnsi="Arial" w:cs="Arial"/>
                <w:b/>
                <w:sz w:val="20"/>
              </w:rPr>
              <w:t xml:space="preserve">ost Member States </w:t>
            </w:r>
          </w:p>
          <w:p w14:paraId="752CEAEC" w14:textId="77777777" w:rsidR="002F73BB" w:rsidRPr="00112DBA" w:rsidRDefault="002F73BB" w:rsidP="00C03446">
            <w:pPr>
              <w:jc w:val="center"/>
              <w:rPr>
                <w:rFonts w:ascii="Arial" w:hAnsi="Arial" w:cs="Arial"/>
                <w:b/>
                <w:sz w:val="20"/>
              </w:rPr>
            </w:pPr>
          </w:p>
        </w:tc>
      </w:tr>
      <w:tr w:rsidR="00DA468C" w:rsidRPr="00112DBA" w14:paraId="53433F74" w14:textId="77777777" w:rsidTr="009C142D">
        <w:trPr>
          <w:trHeight w:val="70"/>
        </w:trPr>
        <w:tc>
          <w:tcPr>
            <w:tcW w:w="465" w:type="pct"/>
            <w:shd w:val="clear" w:color="auto" w:fill="BDD6EE" w:themeFill="accent1" w:themeFillTint="66"/>
          </w:tcPr>
          <w:p w14:paraId="67573A36" w14:textId="77777777" w:rsidR="002F73BB" w:rsidRPr="00112DBA" w:rsidRDefault="002F73BB" w:rsidP="009C142D">
            <w:pPr>
              <w:rPr>
                <w:rFonts w:ascii="Arial" w:hAnsi="Arial" w:cs="Arial"/>
                <w:b/>
                <w:sz w:val="20"/>
              </w:rPr>
            </w:pPr>
          </w:p>
        </w:tc>
        <w:tc>
          <w:tcPr>
            <w:tcW w:w="560" w:type="pct"/>
            <w:shd w:val="clear" w:color="auto" w:fill="BDD6EE" w:themeFill="accent1" w:themeFillTint="66"/>
          </w:tcPr>
          <w:p w14:paraId="18612673" w14:textId="77777777" w:rsidR="002F73BB" w:rsidRPr="00112DBA" w:rsidRDefault="002F73BB" w:rsidP="009C142D">
            <w:pPr>
              <w:rPr>
                <w:rFonts w:ascii="Arial" w:hAnsi="Arial" w:cs="Arial"/>
                <w:b/>
                <w:sz w:val="20"/>
              </w:rPr>
            </w:pPr>
            <w:r w:rsidRPr="008072B1">
              <w:rPr>
                <w:rFonts w:ascii="Arial" w:hAnsi="Arial" w:cs="Arial"/>
                <w:sz w:val="16"/>
              </w:rPr>
              <w:t xml:space="preserve">Specify the type of financial instruments as referred to in Article 42(1)(d)(i) of the </w:t>
            </w:r>
            <w:r w:rsidRPr="00402D6C">
              <w:rPr>
                <w:rFonts w:ascii="Arial" w:hAnsi="Arial" w:cs="Arial"/>
                <w:sz w:val="16"/>
                <w:lang w:val="en"/>
              </w:rPr>
              <w:t>Commission Delegated Regulatio</w:t>
            </w:r>
            <w:r w:rsidRPr="00A93181">
              <w:rPr>
                <w:rFonts w:ascii="Arial" w:hAnsi="Arial" w:cs="Arial"/>
                <w:sz w:val="16"/>
                <w:lang w:val="en"/>
              </w:rPr>
              <w:t>n (EU) 2017/392</w:t>
            </w:r>
          </w:p>
        </w:tc>
        <w:tc>
          <w:tcPr>
            <w:tcW w:w="422" w:type="pct"/>
            <w:shd w:val="clear" w:color="auto" w:fill="BDD6EE" w:themeFill="accent1" w:themeFillTint="66"/>
          </w:tcPr>
          <w:p w14:paraId="620CD4C7" w14:textId="77777777" w:rsidR="002F73BB" w:rsidRPr="00112DBA" w:rsidRDefault="002F73BB" w:rsidP="009C142D">
            <w:pPr>
              <w:rPr>
                <w:rFonts w:ascii="Arial" w:hAnsi="Arial" w:cs="Arial"/>
                <w:b/>
                <w:sz w:val="20"/>
              </w:rPr>
            </w:pPr>
            <w:r w:rsidRPr="005B0E78">
              <w:rPr>
                <w:rFonts w:ascii="Arial" w:hAnsi="Arial" w:cs="Arial"/>
                <w:sz w:val="16"/>
              </w:rPr>
              <w:t xml:space="preserve">Name of the other </w:t>
            </w:r>
            <w:r>
              <w:rPr>
                <w:rFonts w:ascii="Arial" w:hAnsi="Arial" w:cs="Arial"/>
                <w:sz w:val="16"/>
              </w:rPr>
              <w:t>CSDs</w:t>
            </w:r>
            <w:r w:rsidRPr="005B0E78">
              <w:rPr>
                <w:rFonts w:ascii="Arial" w:hAnsi="Arial" w:cs="Arial"/>
                <w:sz w:val="16"/>
              </w:rPr>
              <w:t xml:space="preserve"> involved in each link </w:t>
            </w:r>
          </w:p>
        </w:tc>
        <w:tc>
          <w:tcPr>
            <w:tcW w:w="421" w:type="pct"/>
            <w:shd w:val="clear" w:color="auto" w:fill="BDD6EE" w:themeFill="accent1" w:themeFillTint="66"/>
          </w:tcPr>
          <w:p w14:paraId="214BCFAE" w14:textId="77777777" w:rsidR="002F73BB" w:rsidRPr="00112DBA" w:rsidRDefault="002F73BB" w:rsidP="009C142D">
            <w:pPr>
              <w:rPr>
                <w:rFonts w:ascii="Arial" w:hAnsi="Arial" w:cs="Arial"/>
                <w:b/>
                <w:sz w:val="20"/>
              </w:rPr>
            </w:pPr>
            <w:r w:rsidRPr="005B0E78">
              <w:rPr>
                <w:rFonts w:ascii="Arial" w:hAnsi="Arial" w:cs="Arial"/>
                <w:sz w:val="16"/>
              </w:rPr>
              <w:t>Specify</w:t>
            </w:r>
            <w:r>
              <w:rPr>
                <w:rFonts w:ascii="Arial" w:hAnsi="Arial" w:cs="Arial"/>
                <w:sz w:val="16"/>
              </w:rPr>
              <w:t xml:space="preserve"> for each link if the other CSDs involved in the link act as</w:t>
            </w:r>
            <w:r w:rsidRPr="005B0E78">
              <w:rPr>
                <w:rFonts w:ascii="Arial" w:hAnsi="Arial" w:cs="Arial"/>
                <w:sz w:val="16"/>
              </w:rPr>
              <w:t xml:space="preserve"> “receiving CSDs</w:t>
            </w:r>
            <w:r>
              <w:rPr>
                <w:rFonts w:ascii="Arial" w:hAnsi="Arial" w:cs="Arial"/>
                <w:sz w:val="16"/>
              </w:rPr>
              <w:t>” or “requesting CSDs”</w:t>
            </w:r>
          </w:p>
        </w:tc>
        <w:tc>
          <w:tcPr>
            <w:tcW w:w="373" w:type="pct"/>
            <w:shd w:val="clear" w:color="auto" w:fill="BDD6EE" w:themeFill="accent1" w:themeFillTint="66"/>
          </w:tcPr>
          <w:p w14:paraId="746B0393" w14:textId="0DE68F26" w:rsidR="002F73BB" w:rsidRPr="00112DBA" w:rsidRDefault="002F73BB" w:rsidP="003B66C3">
            <w:pPr>
              <w:rPr>
                <w:rFonts w:ascii="Arial" w:hAnsi="Arial" w:cs="Arial"/>
                <w:b/>
                <w:sz w:val="20"/>
              </w:rPr>
            </w:pPr>
            <w:r w:rsidRPr="005B0E78">
              <w:rPr>
                <w:rFonts w:ascii="Arial" w:hAnsi="Arial" w:cs="Arial"/>
                <w:sz w:val="16"/>
              </w:rPr>
              <w:t>Type of link (</w:t>
            </w:r>
            <w:r w:rsidR="003B66C3">
              <w:rPr>
                <w:rFonts w:ascii="Arial" w:hAnsi="Arial" w:cs="Arial"/>
                <w:sz w:val="16"/>
              </w:rPr>
              <w:t>standard</w:t>
            </w:r>
            <w:r w:rsidRPr="005B0E78">
              <w:rPr>
                <w:rFonts w:ascii="Arial" w:hAnsi="Arial" w:cs="Arial"/>
                <w:sz w:val="16"/>
              </w:rPr>
              <w:t xml:space="preserve"> link, indirect link, interopera</w:t>
            </w:r>
            <w:r w:rsidR="009C142D">
              <w:rPr>
                <w:rFonts w:ascii="Arial" w:hAnsi="Arial" w:cs="Arial"/>
                <w:sz w:val="16"/>
              </w:rPr>
              <w:t>-</w:t>
            </w:r>
            <w:r w:rsidRPr="005B0E78">
              <w:rPr>
                <w:rFonts w:ascii="Arial" w:hAnsi="Arial" w:cs="Arial"/>
                <w:sz w:val="16"/>
              </w:rPr>
              <w:t>ble link)</w:t>
            </w:r>
          </w:p>
        </w:tc>
        <w:tc>
          <w:tcPr>
            <w:tcW w:w="468" w:type="pct"/>
            <w:shd w:val="clear" w:color="auto" w:fill="BDD6EE" w:themeFill="accent1" w:themeFillTint="66"/>
          </w:tcPr>
          <w:p w14:paraId="4875158A" w14:textId="77777777" w:rsidR="002F73BB" w:rsidRPr="00497EF9" w:rsidRDefault="002F73BB" w:rsidP="009C142D">
            <w:pPr>
              <w:rPr>
                <w:rFonts w:ascii="Arial" w:hAnsi="Arial" w:cs="Arial"/>
                <w:sz w:val="16"/>
              </w:rPr>
            </w:pPr>
            <w:r w:rsidRPr="00497EF9">
              <w:rPr>
                <w:rFonts w:ascii="Arial" w:hAnsi="Arial" w:cs="Arial"/>
                <w:sz w:val="16"/>
              </w:rPr>
              <w:t xml:space="preserve">Name of the </w:t>
            </w:r>
            <w:r>
              <w:rPr>
                <w:rFonts w:ascii="Arial" w:hAnsi="Arial" w:cs="Arial"/>
                <w:sz w:val="16"/>
              </w:rPr>
              <w:t>credit institution(s)</w:t>
            </w:r>
          </w:p>
        </w:tc>
        <w:tc>
          <w:tcPr>
            <w:tcW w:w="468" w:type="pct"/>
            <w:shd w:val="clear" w:color="auto" w:fill="BDD6EE" w:themeFill="accent1" w:themeFillTint="66"/>
          </w:tcPr>
          <w:p w14:paraId="4EC821C7" w14:textId="77777777" w:rsidR="002F73BB" w:rsidRPr="00497EF9" w:rsidRDefault="002F73BB" w:rsidP="009C142D">
            <w:pPr>
              <w:rPr>
                <w:rFonts w:ascii="Arial" w:hAnsi="Arial" w:cs="Arial"/>
                <w:sz w:val="16"/>
              </w:rPr>
            </w:pPr>
            <w:r w:rsidRPr="00497EF9">
              <w:rPr>
                <w:rFonts w:ascii="Arial" w:hAnsi="Arial" w:cs="Arial"/>
                <w:sz w:val="16"/>
              </w:rPr>
              <w:t>Services provided</w:t>
            </w:r>
            <w:r>
              <w:rPr>
                <w:rFonts w:ascii="Arial" w:hAnsi="Arial" w:cs="Arial"/>
                <w:sz w:val="16"/>
              </w:rPr>
              <w:t xml:space="preserve"> (Annex to CSDR)</w:t>
            </w:r>
          </w:p>
        </w:tc>
        <w:tc>
          <w:tcPr>
            <w:tcW w:w="373" w:type="pct"/>
            <w:shd w:val="clear" w:color="auto" w:fill="BDD6EE" w:themeFill="accent1" w:themeFillTint="66"/>
          </w:tcPr>
          <w:p w14:paraId="6EC4B68B" w14:textId="77777777" w:rsidR="002F73BB" w:rsidRPr="00114A8C" w:rsidRDefault="002F73BB" w:rsidP="009C142D">
            <w:pPr>
              <w:rPr>
                <w:rFonts w:ascii="Arial" w:hAnsi="Arial" w:cs="Arial"/>
                <w:sz w:val="20"/>
              </w:rPr>
            </w:pPr>
            <w:r w:rsidRPr="00114A8C">
              <w:rPr>
                <w:rFonts w:ascii="Arial" w:hAnsi="Arial" w:cs="Arial"/>
                <w:sz w:val="16"/>
              </w:rPr>
              <w:t>Host Member State</w:t>
            </w:r>
          </w:p>
        </w:tc>
        <w:tc>
          <w:tcPr>
            <w:tcW w:w="422" w:type="pct"/>
            <w:shd w:val="clear" w:color="auto" w:fill="BDD6EE" w:themeFill="accent1" w:themeFillTint="66"/>
          </w:tcPr>
          <w:p w14:paraId="0B9BD7E1" w14:textId="77777777" w:rsidR="002F73BB" w:rsidRPr="00114A8C" w:rsidRDefault="002F73BB" w:rsidP="009C142D">
            <w:pPr>
              <w:rPr>
                <w:rFonts w:ascii="Arial" w:hAnsi="Arial" w:cs="Arial"/>
                <w:sz w:val="16"/>
              </w:rPr>
            </w:pPr>
            <w:r>
              <w:rPr>
                <w:rFonts w:ascii="Arial" w:hAnsi="Arial" w:cs="Arial"/>
                <w:sz w:val="16"/>
              </w:rPr>
              <w:t xml:space="preserve">If applicable, name of the </w:t>
            </w:r>
            <w:r w:rsidRPr="00834E4F">
              <w:rPr>
                <w:rFonts w:ascii="Arial" w:hAnsi="Arial" w:cs="Arial"/>
                <w:b/>
                <w:sz w:val="16"/>
              </w:rPr>
              <w:t>branch</w:t>
            </w:r>
            <w:r>
              <w:rPr>
                <w:rFonts w:ascii="Arial" w:hAnsi="Arial" w:cs="Arial"/>
                <w:sz w:val="16"/>
              </w:rPr>
              <w:t xml:space="preserve"> providing services </w:t>
            </w:r>
          </w:p>
        </w:tc>
        <w:tc>
          <w:tcPr>
            <w:tcW w:w="514" w:type="pct"/>
            <w:shd w:val="clear" w:color="auto" w:fill="BDD6EE" w:themeFill="accent1" w:themeFillTint="66"/>
          </w:tcPr>
          <w:p w14:paraId="74B57D12" w14:textId="77777777" w:rsidR="002F73BB" w:rsidRPr="00112DBA" w:rsidRDefault="002F73BB" w:rsidP="009C142D">
            <w:pPr>
              <w:rPr>
                <w:rFonts w:ascii="Arial" w:hAnsi="Arial" w:cs="Arial"/>
                <w:b/>
                <w:sz w:val="20"/>
              </w:rPr>
            </w:pPr>
            <w:r w:rsidRPr="00114A8C">
              <w:rPr>
                <w:rFonts w:ascii="Arial" w:hAnsi="Arial" w:cs="Arial"/>
                <w:sz w:val="16"/>
              </w:rPr>
              <w:t>Services provided</w:t>
            </w:r>
            <w:r>
              <w:rPr>
                <w:rFonts w:ascii="Arial" w:hAnsi="Arial" w:cs="Arial"/>
                <w:sz w:val="16"/>
              </w:rPr>
              <w:t xml:space="preserve"> (Annex to CSDR)</w:t>
            </w:r>
          </w:p>
          <w:p w14:paraId="718C0D6D" w14:textId="77777777" w:rsidR="002F73BB" w:rsidRPr="005B0E78" w:rsidRDefault="002F73BB" w:rsidP="009C142D">
            <w:pPr>
              <w:rPr>
                <w:rFonts w:ascii="Arial" w:hAnsi="Arial" w:cs="Arial"/>
                <w:sz w:val="16"/>
              </w:rPr>
            </w:pPr>
          </w:p>
        </w:tc>
        <w:tc>
          <w:tcPr>
            <w:tcW w:w="514" w:type="pct"/>
            <w:shd w:val="clear" w:color="auto" w:fill="BDD6EE" w:themeFill="accent1" w:themeFillTint="66"/>
          </w:tcPr>
          <w:p w14:paraId="24EC1266" w14:textId="77777777" w:rsidR="002F73BB" w:rsidRDefault="002F73BB" w:rsidP="009C142D">
            <w:pPr>
              <w:rPr>
                <w:rFonts w:ascii="Arial" w:hAnsi="Arial" w:cs="Arial"/>
                <w:sz w:val="16"/>
              </w:rPr>
            </w:pPr>
            <w:r>
              <w:rPr>
                <w:rFonts w:ascii="Arial" w:hAnsi="Arial" w:cs="Arial"/>
                <w:sz w:val="16"/>
              </w:rPr>
              <w:t xml:space="preserve">If </w:t>
            </w:r>
            <w:r w:rsidRPr="005B0E78">
              <w:rPr>
                <w:rFonts w:ascii="Arial" w:hAnsi="Arial" w:cs="Arial"/>
                <w:sz w:val="16"/>
              </w:rPr>
              <w:t>applicable</w:t>
            </w:r>
            <w:r>
              <w:rPr>
                <w:rFonts w:ascii="Arial" w:hAnsi="Arial" w:cs="Arial"/>
                <w:sz w:val="16"/>
              </w:rPr>
              <w:t>, the law referred to in Article 49(1) of CSDR of the host Member State</w:t>
            </w:r>
          </w:p>
          <w:p w14:paraId="0F8A9A04" w14:textId="77777777" w:rsidR="002F73BB" w:rsidRPr="00114A8C" w:rsidRDefault="002F73BB" w:rsidP="009C142D">
            <w:pPr>
              <w:rPr>
                <w:rFonts w:ascii="Arial" w:hAnsi="Arial" w:cs="Arial"/>
                <w:sz w:val="16"/>
              </w:rPr>
            </w:pPr>
          </w:p>
        </w:tc>
      </w:tr>
      <w:tr w:rsidR="002F73BB" w:rsidRPr="00112DBA" w14:paraId="256C5FF6" w14:textId="77777777" w:rsidTr="00C03446">
        <w:trPr>
          <w:trHeight w:val="70"/>
        </w:trPr>
        <w:tc>
          <w:tcPr>
            <w:tcW w:w="465" w:type="pct"/>
          </w:tcPr>
          <w:p w14:paraId="55E6213A" w14:textId="77777777" w:rsidR="002F73BB" w:rsidRDefault="002F73BB" w:rsidP="00C03446">
            <w:pPr>
              <w:pStyle w:val="ListParagraph"/>
              <w:spacing w:after="0" w:line="240" w:lineRule="auto"/>
              <w:ind w:left="360"/>
              <w:rPr>
                <w:rFonts w:ascii="Arial" w:hAnsi="Arial" w:cs="Arial"/>
                <w:sz w:val="16"/>
                <w:szCs w:val="16"/>
              </w:rPr>
            </w:pPr>
          </w:p>
          <w:p w14:paraId="789590F9" w14:textId="77777777" w:rsidR="002F73BB" w:rsidRPr="00FF089A" w:rsidRDefault="002F73BB" w:rsidP="00C03446"/>
        </w:tc>
        <w:tc>
          <w:tcPr>
            <w:tcW w:w="560" w:type="pct"/>
            <w:shd w:val="clear" w:color="auto" w:fill="auto"/>
          </w:tcPr>
          <w:p w14:paraId="1CE797AC"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transferable securities referred to in point (a) of Article 4(1)(44) of Directive 2014/65/EU,</w:t>
            </w:r>
          </w:p>
          <w:p w14:paraId="7BB254A8"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sovereign debt referred to in Article 4(1)(61) of Directive 2014/65/EU,</w:t>
            </w:r>
          </w:p>
          <w:p w14:paraId="0366B38F"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 xml:space="preserve">transferable securities referred to in point (b) of Article </w:t>
            </w:r>
            <w:r w:rsidRPr="00ED6C19">
              <w:rPr>
                <w:rFonts w:ascii="Arial" w:eastAsia="Times New Roman" w:hAnsi="Arial" w:cs="Arial"/>
                <w:sz w:val="16"/>
                <w:szCs w:val="16"/>
                <w:lang w:eastAsia="en-GB"/>
              </w:rPr>
              <w:lastRenderedPageBreak/>
              <w:t>4(1)(44) of Directive 2014/65/EU, other than sovereign debt referred to in Article 4(1)(61) of Directive 2014/65/EU,</w:t>
            </w:r>
          </w:p>
          <w:p w14:paraId="1603389D"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transferable securities referred to in point (c) of Article 4(1)(44) of Directive 2014/65/EU,</w:t>
            </w:r>
          </w:p>
          <w:p w14:paraId="149F9357"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exchange-traded funds as defined in point (46) of Article 4(1) of Directive 2014/65/UE (ETF),</w:t>
            </w:r>
          </w:p>
          <w:p w14:paraId="48E41BD7"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units in collective investment undertakings, other than ETFs,</w:t>
            </w:r>
          </w:p>
          <w:p w14:paraId="720CD986" w14:textId="77777777" w:rsidR="002F73BB" w:rsidRPr="00ED6C19"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money-market instruments, other than sovereign debt referred to in Article 4(1)(61) of Directive 2014/65/EU,</w:t>
            </w:r>
          </w:p>
          <w:p w14:paraId="7201E263" w14:textId="77777777" w:rsidR="002F73BB"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emission allowances,</w:t>
            </w:r>
          </w:p>
          <w:p w14:paraId="4D56E1C8" w14:textId="77777777" w:rsidR="002F73BB" w:rsidRPr="00F52C16" w:rsidRDefault="002F73BB" w:rsidP="00C03446">
            <w:pPr>
              <w:pStyle w:val="ListParagraph"/>
              <w:numPr>
                <w:ilvl w:val="0"/>
                <w:numId w:val="9"/>
              </w:numPr>
              <w:spacing w:after="0" w:line="240" w:lineRule="auto"/>
              <w:rPr>
                <w:rFonts w:ascii="Arial" w:eastAsia="Times New Roman" w:hAnsi="Arial" w:cs="Arial"/>
                <w:sz w:val="16"/>
                <w:szCs w:val="16"/>
                <w:lang w:eastAsia="en-GB"/>
              </w:rPr>
            </w:pPr>
            <w:r w:rsidRPr="00ED6C19">
              <w:rPr>
                <w:rFonts w:ascii="Arial" w:eastAsia="Times New Roman" w:hAnsi="Arial" w:cs="Arial"/>
                <w:sz w:val="16"/>
                <w:szCs w:val="16"/>
                <w:lang w:eastAsia="en-GB"/>
              </w:rPr>
              <w:t>other financial instruments (please specify).</w:t>
            </w:r>
          </w:p>
        </w:tc>
        <w:tc>
          <w:tcPr>
            <w:tcW w:w="422" w:type="pct"/>
            <w:shd w:val="clear" w:color="auto" w:fill="auto"/>
          </w:tcPr>
          <w:p w14:paraId="19208C33" w14:textId="77777777" w:rsidR="002F73BB" w:rsidRPr="005B0E78" w:rsidRDefault="002F73BB" w:rsidP="00C03446">
            <w:pPr>
              <w:jc w:val="center"/>
              <w:rPr>
                <w:rFonts w:ascii="Arial" w:hAnsi="Arial" w:cs="Arial"/>
                <w:sz w:val="16"/>
              </w:rPr>
            </w:pPr>
          </w:p>
        </w:tc>
        <w:tc>
          <w:tcPr>
            <w:tcW w:w="421" w:type="pct"/>
            <w:shd w:val="clear" w:color="auto" w:fill="auto"/>
          </w:tcPr>
          <w:p w14:paraId="10AF5281" w14:textId="77777777" w:rsidR="002F73BB" w:rsidRPr="005B0E78" w:rsidRDefault="002F73BB" w:rsidP="00C03446">
            <w:pPr>
              <w:jc w:val="center"/>
              <w:rPr>
                <w:rFonts w:ascii="Arial" w:hAnsi="Arial" w:cs="Arial"/>
                <w:sz w:val="16"/>
              </w:rPr>
            </w:pPr>
          </w:p>
        </w:tc>
        <w:tc>
          <w:tcPr>
            <w:tcW w:w="373" w:type="pct"/>
            <w:shd w:val="clear" w:color="auto" w:fill="auto"/>
          </w:tcPr>
          <w:p w14:paraId="30FCC767" w14:textId="77777777" w:rsidR="002F73BB" w:rsidRPr="00112DBA" w:rsidRDefault="002F73BB" w:rsidP="00C03446">
            <w:pPr>
              <w:jc w:val="center"/>
              <w:rPr>
                <w:rFonts w:ascii="Arial" w:hAnsi="Arial" w:cs="Arial"/>
                <w:b/>
                <w:sz w:val="20"/>
              </w:rPr>
            </w:pPr>
          </w:p>
        </w:tc>
        <w:tc>
          <w:tcPr>
            <w:tcW w:w="468" w:type="pct"/>
            <w:shd w:val="clear" w:color="auto" w:fill="auto"/>
          </w:tcPr>
          <w:p w14:paraId="6C7A7828" w14:textId="77777777" w:rsidR="002F73BB" w:rsidRPr="00497EF9" w:rsidRDefault="002F73BB" w:rsidP="00C03446">
            <w:pPr>
              <w:jc w:val="center"/>
              <w:rPr>
                <w:rFonts w:ascii="Arial" w:hAnsi="Arial" w:cs="Arial"/>
                <w:sz w:val="16"/>
              </w:rPr>
            </w:pPr>
          </w:p>
        </w:tc>
        <w:tc>
          <w:tcPr>
            <w:tcW w:w="468" w:type="pct"/>
            <w:shd w:val="clear" w:color="auto" w:fill="auto"/>
          </w:tcPr>
          <w:p w14:paraId="5FA091C5" w14:textId="692FA6A1" w:rsidR="002F73BB" w:rsidRPr="004E29C9" w:rsidRDefault="002F73BB" w:rsidP="00C03446">
            <w:pPr>
              <w:rPr>
                <w:rFonts w:ascii="Arial" w:hAnsi="Arial" w:cs="Arial"/>
                <w:sz w:val="16"/>
                <w:szCs w:val="16"/>
              </w:rPr>
            </w:pPr>
            <w:r w:rsidRPr="004E29C9">
              <w:rPr>
                <w:rFonts w:ascii="Arial" w:hAnsi="Arial" w:cs="Arial"/>
                <w:sz w:val="16"/>
                <w:szCs w:val="16"/>
              </w:rPr>
              <w:t>a) Banking-type ancillary services referred to in Section C:</w:t>
            </w:r>
          </w:p>
          <w:p w14:paraId="2E0514B9" w14:textId="77777777" w:rsidR="002F73BB" w:rsidRPr="004E29C9" w:rsidRDefault="002F73BB" w:rsidP="00C03446">
            <w:pPr>
              <w:rPr>
                <w:rFonts w:ascii="Arial" w:hAnsi="Arial" w:cs="Arial"/>
                <w:sz w:val="16"/>
                <w:szCs w:val="16"/>
              </w:rPr>
            </w:pPr>
          </w:p>
          <w:p w14:paraId="13F8D51A" w14:textId="77777777" w:rsidR="002F73BB" w:rsidRPr="004E29C9" w:rsidRDefault="002F73BB" w:rsidP="00C03446">
            <w:pPr>
              <w:rPr>
                <w:rFonts w:ascii="Arial" w:hAnsi="Arial" w:cs="Arial"/>
                <w:sz w:val="16"/>
                <w:szCs w:val="16"/>
              </w:rPr>
            </w:pPr>
            <w:r w:rsidRPr="004E29C9">
              <w:rPr>
                <w:rFonts w:ascii="Arial" w:hAnsi="Arial" w:cs="Arial"/>
                <w:sz w:val="16"/>
                <w:szCs w:val="16"/>
              </w:rPr>
              <w:t>b) Banking-type ancillary services allowed but not explicitly listed in Section C:</w:t>
            </w:r>
          </w:p>
          <w:p w14:paraId="4C13FC65" w14:textId="77777777" w:rsidR="002F73BB" w:rsidRPr="00497EF9" w:rsidRDefault="002F73BB" w:rsidP="00C03446">
            <w:pPr>
              <w:jc w:val="center"/>
              <w:rPr>
                <w:rFonts w:ascii="Arial" w:hAnsi="Arial" w:cs="Arial"/>
                <w:sz w:val="16"/>
              </w:rPr>
            </w:pPr>
          </w:p>
        </w:tc>
        <w:tc>
          <w:tcPr>
            <w:tcW w:w="373" w:type="pct"/>
            <w:shd w:val="clear" w:color="auto" w:fill="auto"/>
          </w:tcPr>
          <w:p w14:paraId="35C68024" w14:textId="77777777" w:rsidR="002F73BB" w:rsidRPr="00114A8C" w:rsidRDefault="002F73BB" w:rsidP="00C03446">
            <w:pPr>
              <w:jc w:val="center"/>
              <w:rPr>
                <w:rFonts w:ascii="Arial" w:hAnsi="Arial" w:cs="Arial"/>
                <w:sz w:val="16"/>
              </w:rPr>
            </w:pPr>
          </w:p>
        </w:tc>
        <w:tc>
          <w:tcPr>
            <w:tcW w:w="422" w:type="pct"/>
            <w:shd w:val="clear" w:color="auto" w:fill="auto"/>
          </w:tcPr>
          <w:p w14:paraId="1B2EA991" w14:textId="77777777" w:rsidR="002F73BB" w:rsidRDefault="002F73BB" w:rsidP="00C03446">
            <w:pPr>
              <w:jc w:val="center"/>
              <w:rPr>
                <w:rFonts w:ascii="Arial" w:hAnsi="Arial" w:cs="Arial"/>
                <w:sz w:val="16"/>
              </w:rPr>
            </w:pPr>
          </w:p>
        </w:tc>
        <w:tc>
          <w:tcPr>
            <w:tcW w:w="514" w:type="pct"/>
            <w:shd w:val="clear" w:color="auto" w:fill="auto"/>
          </w:tcPr>
          <w:p w14:paraId="682BD3E6" w14:textId="77777777" w:rsidR="002F73BB" w:rsidRDefault="002F73BB" w:rsidP="002F73BB">
            <w:pPr>
              <w:pStyle w:val="ListParagraph"/>
              <w:numPr>
                <w:ilvl w:val="0"/>
                <w:numId w:val="11"/>
              </w:numPr>
              <w:spacing w:after="0" w:line="240" w:lineRule="auto"/>
              <w:rPr>
                <w:rFonts w:ascii="Arial" w:hAnsi="Arial" w:cs="Arial"/>
                <w:sz w:val="16"/>
                <w:szCs w:val="16"/>
              </w:rPr>
            </w:pPr>
            <w:r>
              <w:rPr>
                <w:rFonts w:ascii="Arial" w:hAnsi="Arial" w:cs="Arial"/>
                <w:sz w:val="16"/>
                <w:szCs w:val="16"/>
              </w:rPr>
              <w:t>Core s</w:t>
            </w:r>
            <w:r w:rsidRPr="004E29C9">
              <w:rPr>
                <w:rFonts w:ascii="Arial" w:hAnsi="Arial" w:cs="Arial"/>
                <w:sz w:val="16"/>
                <w:szCs w:val="16"/>
              </w:rPr>
              <w:t xml:space="preserve">ervices referred to in </w:t>
            </w:r>
            <w:r>
              <w:rPr>
                <w:rFonts w:ascii="Arial" w:hAnsi="Arial" w:cs="Arial"/>
                <w:sz w:val="16"/>
                <w:szCs w:val="16"/>
              </w:rPr>
              <w:t>Section</w:t>
            </w:r>
            <w:r w:rsidRPr="004E29C9">
              <w:rPr>
                <w:rFonts w:ascii="Arial" w:hAnsi="Arial" w:cs="Arial"/>
                <w:sz w:val="16"/>
                <w:szCs w:val="16"/>
              </w:rPr>
              <w:t xml:space="preserve"> A</w:t>
            </w:r>
            <w:r>
              <w:rPr>
                <w:rFonts w:ascii="Arial" w:hAnsi="Arial" w:cs="Arial"/>
                <w:sz w:val="16"/>
                <w:szCs w:val="16"/>
              </w:rPr>
              <w:t>:</w:t>
            </w:r>
          </w:p>
          <w:p w14:paraId="746D0F8B" w14:textId="77777777" w:rsidR="002F73BB" w:rsidRPr="004E29C9" w:rsidRDefault="002F73BB" w:rsidP="00C03446">
            <w:pPr>
              <w:pStyle w:val="ListParagraph"/>
              <w:spacing w:after="0" w:line="240" w:lineRule="auto"/>
              <w:ind w:left="360"/>
              <w:rPr>
                <w:rFonts w:ascii="Arial" w:hAnsi="Arial" w:cs="Arial"/>
                <w:sz w:val="16"/>
                <w:szCs w:val="16"/>
              </w:rPr>
            </w:pPr>
          </w:p>
          <w:p w14:paraId="16FA4468" w14:textId="77777777" w:rsidR="002F73BB" w:rsidRDefault="002F73BB" w:rsidP="002F73BB">
            <w:pPr>
              <w:pStyle w:val="ListParagraph"/>
              <w:numPr>
                <w:ilvl w:val="0"/>
                <w:numId w:val="11"/>
              </w:numPr>
              <w:spacing w:after="0" w:line="240" w:lineRule="auto"/>
              <w:rPr>
                <w:rFonts w:ascii="Arial" w:hAnsi="Arial" w:cs="Arial"/>
                <w:sz w:val="16"/>
                <w:szCs w:val="16"/>
              </w:rPr>
            </w:pPr>
            <w:r>
              <w:rPr>
                <w:rFonts w:ascii="Arial" w:hAnsi="Arial" w:cs="Arial"/>
                <w:sz w:val="16"/>
                <w:szCs w:val="16"/>
              </w:rPr>
              <w:t>Ancillary s</w:t>
            </w:r>
            <w:r w:rsidRPr="004E29C9">
              <w:rPr>
                <w:rFonts w:ascii="Arial" w:hAnsi="Arial" w:cs="Arial"/>
                <w:sz w:val="16"/>
                <w:szCs w:val="16"/>
              </w:rPr>
              <w:t xml:space="preserve">ervices referred to in </w:t>
            </w:r>
            <w:r>
              <w:rPr>
                <w:rFonts w:ascii="Arial" w:hAnsi="Arial" w:cs="Arial"/>
                <w:sz w:val="16"/>
                <w:szCs w:val="16"/>
              </w:rPr>
              <w:t>Section</w:t>
            </w:r>
            <w:r w:rsidRPr="004E29C9">
              <w:rPr>
                <w:rFonts w:ascii="Arial" w:hAnsi="Arial" w:cs="Arial"/>
                <w:sz w:val="16"/>
                <w:szCs w:val="16"/>
              </w:rPr>
              <w:t xml:space="preserve"> B</w:t>
            </w:r>
            <w:r>
              <w:rPr>
                <w:rFonts w:ascii="Arial" w:hAnsi="Arial" w:cs="Arial"/>
                <w:sz w:val="16"/>
                <w:szCs w:val="16"/>
              </w:rPr>
              <w:t>:</w:t>
            </w:r>
          </w:p>
          <w:p w14:paraId="1A1EF578" w14:textId="77777777" w:rsidR="002F73BB" w:rsidRPr="004E29C9" w:rsidRDefault="002F73BB" w:rsidP="00C03446">
            <w:pPr>
              <w:pStyle w:val="ListParagraph"/>
              <w:spacing w:after="0" w:line="240" w:lineRule="auto"/>
              <w:ind w:left="360"/>
              <w:rPr>
                <w:rFonts w:ascii="Arial" w:hAnsi="Arial" w:cs="Arial"/>
                <w:sz w:val="16"/>
                <w:szCs w:val="16"/>
              </w:rPr>
            </w:pPr>
          </w:p>
          <w:p w14:paraId="30BBAC19" w14:textId="77777777" w:rsidR="002F73BB" w:rsidRDefault="002F73BB" w:rsidP="002F73BB">
            <w:pPr>
              <w:pStyle w:val="ListParagraph"/>
              <w:numPr>
                <w:ilvl w:val="0"/>
                <w:numId w:val="11"/>
              </w:numPr>
              <w:spacing w:after="0" w:line="240" w:lineRule="auto"/>
              <w:rPr>
                <w:rFonts w:ascii="Arial" w:hAnsi="Arial" w:cs="Arial"/>
                <w:sz w:val="16"/>
                <w:szCs w:val="16"/>
              </w:rPr>
            </w:pPr>
            <w:r>
              <w:rPr>
                <w:rFonts w:ascii="Arial" w:hAnsi="Arial" w:cs="Arial"/>
                <w:sz w:val="16"/>
                <w:szCs w:val="16"/>
              </w:rPr>
              <w:t>Ancillary s</w:t>
            </w:r>
            <w:r w:rsidRPr="005B0E78">
              <w:rPr>
                <w:rFonts w:ascii="Arial" w:hAnsi="Arial" w:cs="Arial"/>
                <w:sz w:val="16"/>
                <w:szCs w:val="16"/>
              </w:rPr>
              <w:t xml:space="preserve">ervices allowed but not explicitly listed in </w:t>
            </w:r>
            <w:r>
              <w:rPr>
                <w:rFonts w:ascii="Arial" w:hAnsi="Arial" w:cs="Arial"/>
                <w:sz w:val="16"/>
                <w:szCs w:val="16"/>
              </w:rPr>
              <w:t>Section</w:t>
            </w:r>
            <w:r w:rsidRPr="005B0E78">
              <w:rPr>
                <w:rFonts w:ascii="Arial" w:hAnsi="Arial" w:cs="Arial"/>
                <w:sz w:val="16"/>
                <w:szCs w:val="16"/>
              </w:rPr>
              <w:t xml:space="preserve"> B</w:t>
            </w:r>
            <w:r>
              <w:rPr>
                <w:rFonts w:ascii="Arial" w:hAnsi="Arial" w:cs="Arial"/>
                <w:sz w:val="16"/>
                <w:szCs w:val="16"/>
              </w:rPr>
              <w:t>:</w:t>
            </w:r>
          </w:p>
          <w:p w14:paraId="2AC61B11" w14:textId="77777777" w:rsidR="002F73BB" w:rsidRDefault="002F73BB" w:rsidP="00C03446">
            <w:pPr>
              <w:pStyle w:val="ListParagraph"/>
              <w:spacing w:after="0" w:line="240" w:lineRule="auto"/>
              <w:ind w:left="360"/>
              <w:rPr>
                <w:rFonts w:ascii="Arial" w:hAnsi="Arial" w:cs="Arial"/>
                <w:sz w:val="16"/>
                <w:szCs w:val="16"/>
              </w:rPr>
            </w:pPr>
          </w:p>
          <w:p w14:paraId="0D0928CE" w14:textId="77777777" w:rsidR="002F73BB" w:rsidRDefault="002F73BB" w:rsidP="002F73BB">
            <w:pPr>
              <w:pStyle w:val="ListParagraph"/>
              <w:numPr>
                <w:ilvl w:val="0"/>
                <w:numId w:val="11"/>
              </w:numPr>
              <w:spacing w:after="0" w:line="240" w:lineRule="auto"/>
              <w:rPr>
                <w:rFonts w:ascii="Arial" w:hAnsi="Arial" w:cs="Arial"/>
                <w:sz w:val="16"/>
                <w:szCs w:val="16"/>
              </w:rPr>
            </w:pPr>
            <w:r>
              <w:rPr>
                <w:rFonts w:ascii="Arial" w:hAnsi="Arial" w:cs="Arial"/>
                <w:sz w:val="16"/>
                <w:szCs w:val="16"/>
              </w:rPr>
              <w:t>Banking-type ancillary s</w:t>
            </w:r>
            <w:r w:rsidRPr="004E29C9">
              <w:rPr>
                <w:rFonts w:ascii="Arial" w:hAnsi="Arial" w:cs="Arial"/>
                <w:sz w:val="16"/>
                <w:szCs w:val="16"/>
              </w:rPr>
              <w:t xml:space="preserve">ervices referred to in </w:t>
            </w:r>
            <w:r>
              <w:rPr>
                <w:rFonts w:ascii="Arial" w:hAnsi="Arial" w:cs="Arial"/>
                <w:sz w:val="16"/>
                <w:szCs w:val="16"/>
              </w:rPr>
              <w:t>Section</w:t>
            </w:r>
            <w:r w:rsidRPr="004E29C9">
              <w:rPr>
                <w:rFonts w:ascii="Arial" w:hAnsi="Arial" w:cs="Arial"/>
                <w:sz w:val="16"/>
                <w:szCs w:val="16"/>
              </w:rPr>
              <w:t xml:space="preserve"> </w:t>
            </w:r>
            <w:r>
              <w:rPr>
                <w:rFonts w:ascii="Arial" w:hAnsi="Arial" w:cs="Arial"/>
                <w:sz w:val="16"/>
                <w:szCs w:val="16"/>
              </w:rPr>
              <w:t>C:</w:t>
            </w:r>
          </w:p>
          <w:p w14:paraId="336F2135" w14:textId="77777777" w:rsidR="002F73BB" w:rsidRDefault="002F73BB" w:rsidP="00C03446">
            <w:pPr>
              <w:pStyle w:val="ListParagraph"/>
              <w:spacing w:after="0" w:line="240" w:lineRule="auto"/>
              <w:ind w:left="360"/>
              <w:rPr>
                <w:rFonts w:ascii="Arial" w:hAnsi="Arial" w:cs="Arial"/>
                <w:sz w:val="16"/>
                <w:szCs w:val="16"/>
              </w:rPr>
            </w:pPr>
          </w:p>
          <w:p w14:paraId="4959B4D6" w14:textId="77777777" w:rsidR="002F73BB" w:rsidRDefault="002F73BB" w:rsidP="002F73BB">
            <w:pPr>
              <w:pStyle w:val="ListParagraph"/>
              <w:numPr>
                <w:ilvl w:val="0"/>
                <w:numId w:val="11"/>
              </w:numPr>
              <w:spacing w:after="0" w:line="240" w:lineRule="auto"/>
              <w:rPr>
                <w:rFonts w:ascii="Arial" w:hAnsi="Arial" w:cs="Arial"/>
                <w:sz w:val="16"/>
                <w:szCs w:val="16"/>
              </w:rPr>
            </w:pPr>
            <w:r>
              <w:rPr>
                <w:rFonts w:ascii="Arial" w:hAnsi="Arial" w:cs="Arial"/>
                <w:sz w:val="16"/>
                <w:szCs w:val="16"/>
              </w:rPr>
              <w:t>Banking-type ancillary s</w:t>
            </w:r>
            <w:r w:rsidRPr="005B0E78">
              <w:rPr>
                <w:rFonts w:ascii="Arial" w:hAnsi="Arial" w:cs="Arial"/>
                <w:sz w:val="16"/>
                <w:szCs w:val="16"/>
              </w:rPr>
              <w:t xml:space="preserve">ervices allowed but not explicitly listed </w:t>
            </w:r>
            <w:r>
              <w:rPr>
                <w:rFonts w:ascii="Arial" w:hAnsi="Arial" w:cs="Arial"/>
                <w:sz w:val="16"/>
                <w:szCs w:val="16"/>
              </w:rPr>
              <w:t>in Section C:</w:t>
            </w:r>
          </w:p>
          <w:p w14:paraId="117B53A1" w14:textId="77777777" w:rsidR="002F73BB" w:rsidRPr="00114A8C" w:rsidRDefault="002F73BB" w:rsidP="00C03446">
            <w:pPr>
              <w:jc w:val="center"/>
              <w:rPr>
                <w:rFonts w:ascii="Arial" w:hAnsi="Arial" w:cs="Arial"/>
                <w:sz w:val="16"/>
              </w:rPr>
            </w:pPr>
          </w:p>
        </w:tc>
        <w:tc>
          <w:tcPr>
            <w:tcW w:w="514" w:type="pct"/>
          </w:tcPr>
          <w:p w14:paraId="434411D1" w14:textId="77777777" w:rsidR="002F73BB" w:rsidRPr="00114A8C" w:rsidRDefault="002F73BB" w:rsidP="00C03446">
            <w:pPr>
              <w:jc w:val="center"/>
              <w:rPr>
                <w:rFonts w:ascii="Arial" w:hAnsi="Arial" w:cs="Arial"/>
                <w:sz w:val="16"/>
              </w:rPr>
            </w:pPr>
          </w:p>
        </w:tc>
      </w:tr>
    </w:tbl>
    <w:p w14:paraId="49AA1C76" w14:textId="77777777" w:rsidR="002F73BB" w:rsidRPr="00112DBA" w:rsidRDefault="002F73BB" w:rsidP="002F73BB">
      <w:pPr>
        <w:rPr>
          <w:rFonts w:ascii="Arial" w:hAnsi="Arial" w:cs="Arial"/>
          <w:b/>
          <w:sz w:val="28"/>
          <w:szCs w:val="28"/>
        </w:rPr>
      </w:pPr>
    </w:p>
    <w:p w14:paraId="1E12A845" w14:textId="6794ECE1" w:rsidR="0004214F" w:rsidRDefault="0004214F">
      <w:pPr>
        <w:rPr>
          <w:rFonts w:ascii="Arial" w:hAnsi="Arial" w:cs="Arial"/>
          <w:b/>
        </w:rPr>
      </w:pPr>
      <w:r>
        <w:rPr>
          <w:rFonts w:ascii="Arial" w:hAnsi="Arial" w:cs="Arial"/>
          <w:b/>
        </w:rPr>
        <w:br w:type="page"/>
      </w:r>
    </w:p>
    <w:p w14:paraId="575058E4" w14:textId="77777777" w:rsidR="002F73BB" w:rsidRPr="00112DBA" w:rsidRDefault="002F73BB" w:rsidP="002F73BB">
      <w:pPr>
        <w:rPr>
          <w:rFonts w:ascii="Arial" w:hAnsi="Arial" w:cs="Arial"/>
          <w:b/>
        </w:rPr>
      </w:pPr>
    </w:p>
    <w:tbl>
      <w:tblPr>
        <w:tblStyle w:val="TableGrid"/>
        <w:tblW w:w="13948" w:type="dxa"/>
        <w:tblLook w:val="04A0" w:firstRow="1" w:lastRow="0" w:firstColumn="1" w:lastColumn="0" w:noHBand="0" w:noVBand="1"/>
      </w:tblPr>
      <w:tblGrid>
        <w:gridCol w:w="2122"/>
        <w:gridCol w:w="3730"/>
        <w:gridCol w:w="2923"/>
        <w:gridCol w:w="2324"/>
        <w:gridCol w:w="2849"/>
      </w:tblGrid>
      <w:tr w:rsidR="002F73BB" w:rsidRPr="00364836" w14:paraId="536B297A" w14:textId="77777777" w:rsidTr="00C03446">
        <w:trPr>
          <w:tblHeader/>
        </w:trPr>
        <w:tc>
          <w:tcPr>
            <w:tcW w:w="13948" w:type="dxa"/>
            <w:gridSpan w:val="5"/>
            <w:shd w:val="clear" w:color="auto" w:fill="F7CAAC" w:themeFill="accent2" w:themeFillTint="66"/>
          </w:tcPr>
          <w:p w14:paraId="4CCE2AE5" w14:textId="77777777" w:rsidR="002F73BB" w:rsidRPr="00364836" w:rsidRDefault="002F73BB" w:rsidP="00C03446">
            <w:pPr>
              <w:pStyle w:val="Heading1"/>
              <w:outlineLvl w:val="0"/>
              <w:rPr>
                <w:rFonts w:ascii="Arial" w:hAnsi="Arial" w:cs="Arial"/>
                <w:b/>
                <w:color w:val="auto"/>
                <w:sz w:val="28"/>
              </w:rPr>
            </w:pPr>
            <w:bookmarkStart w:id="3" w:name="_Toc491093815"/>
            <w:bookmarkStart w:id="4" w:name="_Toc491111557"/>
            <w:bookmarkStart w:id="5" w:name="_Toc491176581"/>
            <w:r>
              <w:rPr>
                <w:rFonts w:ascii="Arial" w:hAnsi="Arial" w:cs="Arial"/>
                <w:b/>
                <w:color w:val="auto"/>
                <w:sz w:val="28"/>
              </w:rPr>
              <w:t xml:space="preserve">III. </w:t>
            </w:r>
            <w:r w:rsidRPr="008072B1">
              <w:rPr>
                <w:rFonts w:ascii="Arial" w:hAnsi="Arial" w:cs="Arial"/>
                <w:b/>
                <w:color w:val="auto"/>
                <w:sz w:val="28"/>
              </w:rPr>
              <w:t>E</w:t>
            </w:r>
            <w:bookmarkEnd w:id="3"/>
            <w:r w:rsidRPr="008072B1">
              <w:rPr>
                <w:rFonts w:ascii="Arial" w:hAnsi="Arial" w:cs="Arial"/>
                <w:b/>
                <w:color w:val="auto"/>
                <w:sz w:val="28"/>
              </w:rPr>
              <w:t>ntities allowed to record book entries into securities accounts mainta</w:t>
            </w:r>
            <w:r w:rsidRPr="00402D6C">
              <w:rPr>
                <w:rFonts w:ascii="Arial" w:hAnsi="Arial" w:cs="Arial"/>
                <w:b/>
                <w:color w:val="auto"/>
                <w:sz w:val="28"/>
              </w:rPr>
              <w:t>ined by CSDs (Art 31 of CSDR)</w:t>
            </w:r>
            <w:bookmarkEnd w:id="4"/>
            <w:bookmarkEnd w:id="5"/>
          </w:p>
          <w:p w14:paraId="1C506624" w14:textId="77777777" w:rsidR="002F73BB" w:rsidRPr="00364836" w:rsidRDefault="002F73BB" w:rsidP="00C03446">
            <w:pPr>
              <w:rPr>
                <w:rFonts w:ascii="Arial" w:hAnsi="Arial" w:cs="Arial"/>
                <w:b/>
                <w:sz w:val="28"/>
              </w:rPr>
            </w:pPr>
          </w:p>
        </w:tc>
      </w:tr>
      <w:tr w:rsidR="00CE28D2" w:rsidRPr="00112DBA" w14:paraId="3703810E" w14:textId="77777777" w:rsidTr="00CE28D2">
        <w:trPr>
          <w:tblHeader/>
        </w:trPr>
        <w:tc>
          <w:tcPr>
            <w:tcW w:w="2122" w:type="dxa"/>
            <w:shd w:val="clear" w:color="auto" w:fill="FBE4D5" w:themeFill="accent2" w:themeFillTint="33"/>
          </w:tcPr>
          <w:p w14:paraId="4718CA1A" w14:textId="4D1C6B6E" w:rsidR="00CE28D2" w:rsidRPr="00112DBA" w:rsidRDefault="00CE28D2" w:rsidP="00CE28D2">
            <w:pPr>
              <w:jc w:val="center"/>
              <w:rPr>
                <w:rFonts w:ascii="Arial" w:hAnsi="Arial" w:cs="Arial"/>
                <w:b/>
                <w:sz w:val="20"/>
                <w:szCs w:val="20"/>
              </w:rPr>
            </w:pPr>
            <w:r w:rsidRPr="00112DBA">
              <w:rPr>
                <w:rFonts w:ascii="Arial" w:hAnsi="Arial" w:cs="Arial"/>
                <w:b/>
                <w:sz w:val="20"/>
                <w:szCs w:val="20"/>
              </w:rPr>
              <w:t>Home Member State</w:t>
            </w:r>
          </w:p>
        </w:tc>
        <w:tc>
          <w:tcPr>
            <w:tcW w:w="3730" w:type="dxa"/>
            <w:shd w:val="clear" w:color="auto" w:fill="FBE4D5" w:themeFill="accent2" w:themeFillTint="33"/>
          </w:tcPr>
          <w:p w14:paraId="1D0E2449" w14:textId="77777777" w:rsidR="00CE28D2" w:rsidRPr="00112DBA" w:rsidRDefault="00CE28D2" w:rsidP="00C03446">
            <w:pPr>
              <w:jc w:val="center"/>
              <w:rPr>
                <w:rFonts w:ascii="Arial" w:hAnsi="Arial" w:cs="Arial"/>
                <w:b/>
                <w:sz w:val="20"/>
                <w:szCs w:val="20"/>
              </w:rPr>
            </w:pPr>
            <w:r w:rsidRPr="00112DBA">
              <w:rPr>
                <w:rFonts w:ascii="Arial" w:hAnsi="Arial" w:cs="Arial"/>
                <w:b/>
                <w:sz w:val="20"/>
                <w:szCs w:val="20"/>
              </w:rPr>
              <w:t xml:space="preserve">Name of </w:t>
            </w:r>
            <w:r>
              <w:rPr>
                <w:rFonts w:ascii="Arial" w:hAnsi="Arial" w:cs="Arial"/>
                <w:b/>
                <w:sz w:val="20"/>
                <w:szCs w:val="20"/>
              </w:rPr>
              <w:t>the</w:t>
            </w:r>
            <w:r w:rsidRPr="00112DBA">
              <w:rPr>
                <w:rFonts w:ascii="Arial" w:hAnsi="Arial" w:cs="Arial"/>
                <w:b/>
                <w:sz w:val="20"/>
                <w:szCs w:val="20"/>
              </w:rPr>
              <w:t xml:space="preserve"> CSD</w:t>
            </w:r>
            <w:r>
              <w:rPr>
                <w:rFonts w:ascii="Arial" w:hAnsi="Arial" w:cs="Arial"/>
                <w:b/>
                <w:sz w:val="20"/>
                <w:szCs w:val="20"/>
              </w:rPr>
              <w:t xml:space="preserve"> maintaining the securities accounts</w:t>
            </w:r>
          </w:p>
        </w:tc>
        <w:tc>
          <w:tcPr>
            <w:tcW w:w="2923" w:type="dxa"/>
            <w:shd w:val="clear" w:color="auto" w:fill="FBE4D5" w:themeFill="accent2" w:themeFillTint="33"/>
          </w:tcPr>
          <w:p w14:paraId="4292BA05" w14:textId="77777777" w:rsidR="00CE28D2" w:rsidRPr="00112DBA" w:rsidRDefault="00CE28D2" w:rsidP="00C03446">
            <w:pPr>
              <w:jc w:val="center"/>
              <w:rPr>
                <w:rFonts w:ascii="Arial" w:hAnsi="Arial" w:cs="Arial"/>
                <w:b/>
                <w:sz w:val="20"/>
                <w:szCs w:val="20"/>
              </w:rPr>
            </w:pPr>
            <w:r w:rsidRPr="00112DBA">
              <w:rPr>
                <w:rFonts w:ascii="Arial" w:hAnsi="Arial" w:cs="Arial"/>
                <w:b/>
                <w:sz w:val="20"/>
                <w:szCs w:val="20"/>
              </w:rPr>
              <w:t>Name of entity allowed to record book entries into securities accounts maintained by the CSD</w:t>
            </w:r>
          </w:p>
        </w:tc>
        <w:tc>
          <w:tcPr>
            <w:tcW w:w="2324" w:type="dxa"/>
            <w:shd w:val="clear" w:color="auto" w:fill="FBE4D5" w:themeFill="accent2" w:themeFillTint="33"/>
          </w:tcPr>
          <w:p w14:paraId="11F71FD2" w14:textId="77777777" w:rsidR="00CE28D2" w:rsidRPr="00112DBA" w:rsidRDefault="00CE28D2" w:rsidP="00C03446">
            <w:pPr>
              <w:jc w:val="center"/>
              <w:rPr>
                <w:rFonts w:ascii="Arial" w:hAnsi="Arial" w:cs="Arial"/>
                <w:b/>
                <w:sz w:val="20"/>
                <w:szCs w:val="20"/>
              </w:rPr>
            </w:pPr>
            <w:r w:rsidRPr="00112DBA">
              <w:rPr>
                <w:rFonts w:ascii="Arial" w:hAnsi="Arial" w:cs="Arial"/>
                <w:b/>
                <w:sz w:val="20"/>
                <w:szCs w:val="20"/>
              </w:rPr>
              <w:t>Core services referred to in Section A of the Annex to CSDR provided by the entity</w:t>
            </w:r>
          </w:p>
        </w:tc>
        <w:tc>
          <w:tcPr>
            <w:tcW w:w="2849" w:type="dxa"/>
            <w:shd w:val="clear" w:color="auto" w:fill="FBE4D5" w:themeFill="accent2" w:themeFillTint="33"/>
          </w:tcPr>
          <w:p w14:paraId="508C7223" w14:textId="77777777" w:rsidR="00CE28D2" w:rsidRPr="00112DBA" w:rsidRDefault="00CE28D2" w:rsidP="00C03446">
            <w:pPr>
              <w:jc w:val="center"/>
              <w:rPr>
                <w:rFonts w:ascii="Arial" w:hAnsi="Arial" w:cs="Arial"/>
                <w:b/>
                <w:sz w:val="20"/>
                <w:szCs w:val="20"/>
              </w:rPr>
            </w:pPr>
            <w:r w:rsidRPr="00112DBA">
              <w:rPr>
                <w:rFonts w:ascii="Arial" w:hAnsi="Arial" w:cs="Arial"/>
                <w:b/>
                <w:sz w:val="20"/>
                <w:szCs w:val="20"/>
              </w:rPr>
              <w:t>Regime applicable to the provision of these services, incl. applicable national law provisions</w:t>
            </w:r>
          </w:p>
        </w:tc>
      </w:tr>
      <w:tr w:rsidR="00CE28D2" w:rsidRPr="00112DBA" w14:paraId="76BEA963" w14:textId="77777777" w:rsidTr="00CE28D2">
        <w:trPr>
          <w:tblHeader/>
        </w:trPr>
        <w:tc>
          <w:tcPr>
            <w:tcW w:w="2122" w:type="dxa"/>
            <w:shd w:val="clear" w:color="auto" w:fill="auto"/>
          </w:tcPr>
          <w:p w14:paraId="0202E057" w14:textId="77777777" w:rsidR="00CE28D2" w:rsidRDefault="00CE28D2" w:rsidP="00C03446">
            <w:pPr>
              <w:rPr>
                <w:rFonts w:ascii="Arial" w:hAnsi="Arial" w:cs="Arial"/>
                <w:b/>
                <w:sz w:val="20"/>
                <w:szCs w:val="20"/>
              </w:rPr>
            </w:pPr>
          </w:p>
        </w:tc>
        <w:tc>
          <w:tcPr>
            <w:tcW w:w="3730" w:type="dxa"/>
            <w:shd w:val="clear" w:color="auto" w:fill="auto"/>
          </w:tcPr>
          <w:p w14:paraId="43652506" w14:textId="77777777" w:rsidR="00CE28D2" w:rsidRDefault="00CE28D2" w:rsidP="00C03446">
            <w:pPr>
              <w:rPr>
                <w:rFonts w:ascii="Arial" w:hAnsi="Arial" w:cs="Arial"/>
                <w:b/>
                <w:sz w:val="20"/>
                <w:szCs w:val="20"/>
              </w:rPr>
            </w:pPr>
          </w:p>
        </w:tc>
        <w:tc>
          <w:tcPr>
            <w:tcW w:w="2923" w:type="dxa"/>
            <w:shd w:val="clear" w:color="auto" w:fill="auto"/>
          </w:tcPr>
          <w:p w14:paraId="1A4A3299" w14:textId="77777777" w:rsidR="00CE28D2" w:rsidRDefault="00CE28D2" w:rsidP="00C03446">
            <w:pPr>
              <w:rPr>
                <w:rFonts w:ascii="Arial" w:hAnsi="Arial" w:cs="Arial"/>
                <w:b/>
                <w:sz w:val="20"/>
                <w:szCs w:val="20"/>
              </w:rPr>
            </w:pPr>
          </w:p>
        </w:tc>
        <w:tc>
          <w:tcPr>
            <w:tcW w:w="2324" w:type="dxa"/>
            <w:shd w:val="clear" w:color="auto" w:fill="auto"/>
          </w:tcPr>
          <w:p w14:paraId="2B83D2C7" w14:textId="77777777" w:rsidR="00CE28D2" w:rsidRDefault="00CE28D2" w:rsidP="00C03446">
            <w:pPr>
              <w:rPr>
                <w:rFonts w:ascii="Arial" w:hAnsi="Arial" w:cs="Arial"/>
                <w:b/>
                <w:sz w:val="20"/>
                <w:szCs w:val="20"/>
              </w:rPr>
            </w:pPr>
          </w:p>
        </w:tc>
        <w:tc>
          <w:tcPr>
            <w:tcW w:w="2849" w:type="dxa"/>
            <w:shd w:val="clear" w:color="auto" w:fill="auto"/>
          </w:tcPr>
          <w:p w14:paraId="7B39E2CC" w14:textId="77777777" w:rsidR="00CE28D2" w:rsidRPr="00112DBA" w:rsidRDefault="00CE28D2" w:rsidP="00C03446">
            <w:pPr>
              <w:rPr>
                <w:rFonts w:ascii="Arial" w:hAnsi="Arial" w:cs="Arial"/>
                <w:b/>
                <w:sz w:val="20"/>
                <w:szCs w:val="20"/>
              </w:rPr>
            </w:pPr>
          </w:p>
        </w:tc>
      </w:tr>
    </w:tbl>
    <w:p w14:paraId="0B752FC8" w14:textId="77777777" w:rsidR="002F73BB" w:rsidRPr="00112DBA" w:rsidRDefault="002F73BB" w:rsidP="002F73BB">
      <w:pPr>
        <w:rPr>
          <w:rFonts w:ascii="Arial" w:hAnsi="Arial" w:cs="Arial"/>
          <w:b/>
        </w:rPr>
      </w:pPr>
    </w:p>
    <w:p w14:paraId="29B6C607" w14:textId="77777777" w:rsidR="002F73BB" w:rsidRPr="00112DBA" w:rsidRDefault="002F73BB" w:rsidP="002F73BB">
      <w:pPr>
        <w:rPr>
          <w:rFonts w:ascii="Arial" w:hAnsi="Arial" w:cs="Arial"/>
          <w:b/>
        </w:rPr>
      </w:pPr>
    </w:p>
    <w:p w14:paraId="6EF281B3" w14:textId="77777777" w:rsidR="003557A9" w:rsidRPr="002F73BB" w:rsidRDefault="003557A9" w:rsidP="002F73BB"/>
    <w:sectPr w:rsidR="003557A9" w:rsidRPr="002F73BB" w:rsidSect="00F35D1E">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C18F" w14:textId="77777777" w:rsidR="00D910CE" w:rsidRDefault="00D910CE" w:rsidP="001D7EB1">
      <w:pPr>
        <w:spacing w:after="0" w:line="240" w:lineRule="auto"/>
      </w:pPr>
      <w:r>
        <w:separator/>
      </w:r>
    </w:p>
  </w:endnote>
  <w:endnote w:type="continuationSeparator" w:id="0">
    <w:p w14:paraId="441C776A" w14:textId="77777777" w:rsidR="00D910CE" w:rsidRDefault="00D910CE" w:rsidP="001D7EB1">
      <w:pPr>
        <w:spacing w:after="0" w:line="240" w:lineRule="auto"/>
      </w:pPr>
      <w:r>
        <w:continuationSeparator/>
      </w:r>
    </w:p>
  </w:endnote>
  <w:endnote w:type="continuationNotice" w:id="1">
    <w:p w14:paraId="5A14E12D" w14:textId="77777777" w:rsidR="00D910CE" w:rsidRDefault="00D91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322F" w14:textId="77777777" w:rsidR="00C80AE0" w:rsidRDefault="00C8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73921"/>
      <w:docPartObj>
        <w:docPartGallery w:val="Page Numbers (Bottom of Page)"/>
        <w:docPartUnique/>
      </w:docPartObj>
    </w:sdtPr>
    <w:sdtEndPr>
      <w:rPr>
        <w:noProof/>
      </w:rPr>
    </w:sdtEndPr>
    <w:sdtContent>
      <w:p w14:paraId="3FC3EAE0" w14:textId="48F5D164" w:rsidR="002F73BB" w:rsidRDefault="002F73BB">
        <w:pPr>
          <w:pStyle w:val="Footer"/>
          <w:jc w:val="center"/>
        </w:pPr>
        <w:r>
          <w:fldChar w:fldCharType="begin"/>
        </w:r>
        <w:r>
          <w:instrText xml:space="preserve"> PAGE   \* MERGEFORMAT </w:instrText>
        </w:r>
        <w:r>
          <w:fldChar w:fldCharType="separate"/>
        </w:r>
        <w:r w:rsidR="00C80AE0">
          <w:rPr>
            <w:noProof/>
          </w:rPr>
          <w:t>1</w:t>
        </w:r>
        <w:r>
          <w:rPr>
            <w:noProof/>
          </w:rPr>
          <w:fldChar w:fldCharType="end"/>
        </w:r>
      </w:p>
    </w:sdtContent>
  </w:sdt>
  <w:p w14:paraId="5A1660C6" w14:textId="77777777" w:rsidR="002F73BB" w:rsidRDefault="002F7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1981" w14:textId="77777777" w:rsidR="00C80AE0" w:rsidRDefault="00C8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920D" w14:textId="77777777" w:rsidR="00D910CE" w:rsidRDefault="00D910CE" w:rsidP="001D7EB1">
      <w:pPr>
        <w:spacing w:after="0" w:line="240" w:lineRule="auto"/>
      </w:pPr>
      <w:r>
        <w:separator/>
      </w:r>
    </w:p>
  </w:footnote>
  <w:footnote w:type="continuationSeparator" w:id="0">
    <w:p w14:paraId="418957E2" w14:textId="77777777" w:rsidR="00D910CE" w:rsidRDefault="00D910CE" w:rsidP="001D7EB1">
      <w:pPr>
        <w:spacing w:after="0" w:line="240" w:lineRule="auto"/>
      </w:pPr>
      <w:r>
        <w:continuationSeparator/>
      </w:r>
    </w:p>
  </w:footnote>
  <w:footnote w:type="continuationNotice" w:id="1">
    <w:p w14:paraId="3789740B" w14:textId="77777777" w:rsidR="00D910CE" w:rsidRDefault="00D91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B9C1" w14:textId="77777777" w:rsidR="00C80AE0" w:rsidRDefault="00C8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C120" w14:textId="2FEA7322" w:rsidR="002F73BB" w:rsidRPr="00162839" w:rsidRDefault="002F73BB" w:rsidP="00A06325">
    <w:pPr>
      <w:spacing w:after="0"/>
      <w:ind w:left="10081"/>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2D723E35" wp14:editId="12C95405">
          <wp:simplePos x="0" y="0"/>
          <wp:positionH relativeFrom="page">
            <wp:posOffset>914400</wp:posOffset>
          </wp:positionH>
          <wp:positionV relativeFrom="page">
            <wp:posOffset>448945</wp:posOffset>
          </wp:positionV>
          <wp:extent cx="2209800" cy="904875"/>
          <wp:effectExtent l="0" t="0" r="0" b="9525"/>
          <wp:wrapNone/>
          <wp:docPr id="8" name="Picture 1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6C3">
      <w:rPr>
        <w:rFonts w:ascii="Arial" w:hAnsi="Arial" w:cs="Arial"/>
      </w:rPr>
      <w:t>27 September</w:t>
    </w:r>
    <w:r w:rsidRPr="00162839">
      <w:rPr>
        <w:rFonts w:ascii="Arial" w:hAnsi="Arial" w:cs="Arial"/>
      </w:rPr>
      <w:t xml:space="preserve"> 2017 </w:t>
    </w:r>
  </w:p>
  <w:p w14:paraId="6718C682" w14:textId="77777777" w:rsidR="002F73BB" w:rsidRPr="00162839" w:rsidRDefault="002F73BB" w:rsidP="00A06325">
    <w:pPr>
      <w:spacing w:after="0"/>
      <w:ind w:left="10081"/>
      <w:rPr>
        <w:rFonts w:ascii="Arial" w:hAnsi="Arial" w:cs="Arial"/>
      </w:rPr>
    </w:pPr>
    <w:bookmarkStart w:id="0" w:name="_GoBack"/>
    <w:r w:rsidRPr="00162839">
      <w:rPr>
        <w:rFonts w:ascii="Arial" w:hAnsi="Arial" w:cs="Arial"/>
      </w:rPr>
      <w:t>ESMA70-</w:t>
    </w:r>
    <w:r>
      <w:rPr>
        <w:rFonts w:ascii="Arial" w:hAnsi="Arial" w:cs="Arial"/>
      </w:rPr>
      <w:t>151-564</w:t>
    </w:r>
  </w:p>
  <w:bookmarkEnd w:id="0"/>
  <w:p w14:paraId="3C8459EB" w14:textId="77777777" w:rsidR="002F73BB" w:rsidRDefault="002F7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6387" w14:textId="77777777" w:rsidR="00C80AE0" w:rsidRDefault="00C80A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0633" w14:textId="77777777" w:rsidR="00A06325" w:rsidRDefault="00A0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5298"/>
    <w:multiLevelType w:val="hybridMultilevel"/>
    <w:tmpl w:val="F574F6CE"/>
    <w:lvl w:ilvl="0" w:tplc="CB96CD82">
      <w:start w:val="1"/>
      <w:numFmt w:val="lowerLetter"/>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A66C5"/>
    <w:multiLevelType w:val="hybridMultilevel"/>
    <w:tmpl w:val="C5061F7E"/>
    <w:lvl w:ilvl="0" w:tplc="35569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D6E67"/>
    <w:multiLevelType w:val="hybridMultilevel"/>
    <w:tmpl w:val="B4165C9C"/>
    <w:lvl w:ilvl="0" w:tplc="8A42A2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06F2D"/>
    <w:multiLevelType w:val="hybridMultilevel"/>
    <w:tmpl w:val="A6B04DC6"/>
    <w:lvl w:ilvl="0" w:tplc="35569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A3C6B"/>
    <w:multiLevelType w:val="hybridMultilevel"/>
    <w:tmpl w:val="C23CEB9C"/>
    <w:lvl w:ilvl="0" w:tplc="08AACD84">
      <w:start w:val="1"/>
      <w:numFmt w:val="decimal"/>
      <w:lvlText w:val="%1."/>
      <w:lvlJc w:val="right"/>
      <w:pPr>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2EDC"/>
    <w:multiLevelType w:val="hybridMultilevel"/>
    <w:tmpl w:val="F574F6CE"/>
    <w:lvl w:ilvl="0" w:tplc="CB96CD82">
      <w:start w:val="1"/>
      <w:numFmt w:val="lowerLetter"/>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6D293A"/>
    <w:multiLevelType w:val="hybridMultilevel"/>
    <w:tmpl w:val="368AD514"/>
    <w:lvl w:ilvl="0" w:tplc="35569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50FFB"/>
    <w:multiLevelType w:val="hybridMultilevel"/>
    <w:tmpl w:val="95C2B0B2"/>
    <w:lvl w:ilvl="0" w:tplc="CB96CD82">
      <w:start w:val="1"/>
      <w:numFmt w:val="lowerLetter"/>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FC6ABF"/>
    <w:multiLevelType w:val="hybridMultilevel"/>
    <w:tmpl w:val="A6B04DC6"/>
    <w:lvl w:ilvl="0" w:tplc="35569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FC3426"/>
    <w:multiLevelType w:val="hybridMultilevel"/>
    <w:tmpl w:val="F574F6CE"/>
    <w:lvl w:ilvl="0" w:tplc="CB96CD82">
      <w:start w:val="1"/>
      <w:numFmt w:val="lowerLetter"/>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4551BA"/>
    <w:multiLevelType w:val="hybridMultilevel"/>
    <w:tmpl w:val="6F581638"/>
    <w:lvl w:ilvl="0" w:tplc="421CB1B2">
      <w:start w:val="1"/>
      <w:numFmt w:val="upperRoman"/>
      <w:lvlText w:val="%1."/>
      <w:lvlJc w:val="left"/>
      <w:pPr>
        <w:ind w:left="1080" w:hanging="720"/>
      </w:pPr>
      <w:rPr>
        <w:rFonts w:ascii="Arial" w:eastAsiaTheme="minorHAnsi" w:hAnsi="Arial" w:cs="Arial" w:hint="default"/>
        <w:b/>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6"/>
  </w:num>
  <w:num w:numId="6">
    <w:abstractNumId w:val="0"/>
  </w:num>
  <w:num w:numId="7">
    <w:abstractNumId w:val="1"/>
  </w:num>
  <w:num w:numId="8">
    <w:abstractNumId w:val="3"/>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E"/>
    <w:rsid w:val="00021E03"/>
    <w:rsid w:val="00022B81"/>
    <w:rsid w:val="00024618"/>
    <w:rsid w:val="00030CC0"/>
    <w:rsid w:val="00033510"/>
    <w:rsid w:val="0004214F"/>
    <w:rsid w:val="000C6B3E"/>
    <w:rsid w:val="00112DBA"/>
    <w:rsid w:val="00114A8C"/>
    <w:rsid w:val="00146111"/>
    <w:rsid w:val="00162839"/>
    <w:rsid w:val="00170BCF"/>
    <w:rsid w:val="001B56DF"/>
    <w:rsid w:val="001C5FF3"/>
    <w:rsid w:val="001D7EB1"/>
    <w:rsid w:val="00236BC9"/>
    <w:rsid w:val="0023717F"/>
    <w:rsid w:val="002512CF"/>
    <w:rsid w:val="00296EF8"/>
    <w:rsid w:val="002B42A1"/>
    <w:rsid w:val="002D4251"/>
    <w:rsid w:val="002F4214"/>
    <w:rsid w:val="002F73BB"/>
    <w:rsid w:val="003557A9"/>
    <w:rsid w:val="00355D65"/>
    <w:rsid w:val="00364836"/>
    <w:rsid w:val="00381F36"/>
    <w:rsid w:val="00384151"/>
    <w:rsid w:val="00392874"/>
    <w:rsid w:val="003A604D"/>
    <w:rsid w:val="003B54A0"/>
    <w:rsid w:val="003B66C3"/>
    <w:rsid w:val="003B69F6"/>
    <w:rsid w:val="003E5D7D"/>
    <w:rsid w:val="00407028"/>
    <w:rsid w:val="00455954"/>
    <w:rsid w:val="00497EF9"/>
    <w:rsid w:val="004C7A1D"/>
    <w:rsid w:val="005154BC"/>
    <w:rsid w:val="00550CCB"/>
    <w:rsid w:val="005B0E78"/>
    <w:rsid w:val="00626945"/>
    <w:rsid w:val="0064388E"/>
    <w:rsid w:val="0064400E"/>
    <w:rsid w:val="00645250"/>
    <w:rsid w:val="00652632"/>
    <w:rsid w:val="00674F7A"/>
    <w:rsid w:val="00694E1E"/>
    <w:rsid w:val="006A5978"/>
    <w:rsid w:val="006F0C0E"/>
    <w:rsid w:val="00754511"/>
    <w:rsid w:val="007559A0"/>
    <w:rsid w:val="007A3186"/>
    <w:rsid w:val="007D746D"/>
    <w:rsid w:val="007F6D3B"/>
    <w:rsid w:val="007F7885"/>
    <w:rsid w:val="0080171D"/>
    <w:rsid w:val="00822DC2"/>
    <w:rsid w:val="00831691"/>
    <w:rsid w:val="00833BBA"/>
    <w:rsid w:val="00834E4F"/>
    <w:rsid w:val="00871600"/>
    <w:rsid w:val="008A71B1"/>
    <w:rsid w:val="008B7433"/>
    <w:rsid w:val="008E0E50"/>
    <w:rsid w:val="008E66FF"/>
    <w:rsid w:val="008F58D1"/>
    <w:rsid w:val="00932598"/>
    <w:rsid w:val="009C142D"/>
    <w:rsid w:val="00A06325"/>
    <w:rsid w:val="00A1118A"/>
    <w:rsid w:val="00A47700"/>
    <w:rsid w:val="00A65022"/>
    <w:rsid w:val="00A73EDD"/>
    <w:rsid w:val="00A777AC"/>
    <w:rsid w:val="00A92D94"/>
    <w:rsid w:val="00AE03E3"/>
    <w:rsid w:val="00B36E6E"/>
    <w:rsid w:val="00B57AE4"/>
    <w:rsid w:val="00BA07DA"/>
    <w:rsid w:val="00BB2E7F"/>
    <w:rsid w:val="00BC3DA7"/>
    <w:rsid w:val="00C12200"/>
    <w:rsid w:val="00C80AE0"/>
    <w:rsid w:val="00C96C6D"/>
    <w:rsid w:val="00CB0B25"/>
    <w:rsid w:val="00CE28D2"/>
    <w:rsid w:val="00D27FC3"/>
    <w:rsid w:val="00D60D99"/>
    <w:rsid w:val="00D8530D"/>
    <w:rsid w:val="00D910CE"/>
    <w:rsid w:val="00DA468C"/>
    <w:rsid w:val="00E14A93"/>
    <w:rsid w:val="00E1605C"/>
    <w:rsid w:val="00E26444"/>
    <w:rsid w:val="00E34B80"/>
    <w:rsid w:val="00E36A81"/>
    <w:rsid w:val="00E91E27"/>
    <w:rsid w:val="00ED6C19"/>
    <w:rsid w:val="00F35D1E"/>
    <w:rsid w:val="00F41F5F"/>
    <w:rsid w:val="00F6582B"/>
    <w:rsid w:val="00F87019"/>
    <w:rsid w:val="00F90411"/>
    <w:rsid w:val="00FC3659"/>
    <w:rsid w:val="00FD4CC3"/>
    <w:rsid w:val="00FF089A"/>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9153B"/>
  <w15:chartTrackingRefBased/>
  <w15:docId w15:val="{AE5CD74B-70ED-4FF0-8F09-2E581A5D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91"/>
  </w:style>
  <w:style w:type="paragraph" w:styleId="Heading1">
    <w:name w:val="heading 1"/>
    <w:basedOn w:val="Normal"/>
    <w:next w:val="Normal"/>
    <w:link w:val="Heading1Char"/>
    <w:uiPriority w:val="9"/>
    <w:qFormat/>
    <w:rsid w:val="000C6B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D1E"/>
    <w:pPr>
      <w:spacing w:after="200" w:line="276" w:lineRule="auto"/>
      <w:ind w:left="720"/>
      <w:contextualSpacing/>
    </w:pPr>
  </w:style>
  <w:style w:type="paragraph" w:styleId="Title">
    <w:name w:val="Title"/>
    <w:basedOn w:val="Normal"/>
    <w:next w:val="Normal"/>
    <w:link w:val="TitleChar"/>
    <w:uiPriority w:val="10"/>
    <w:qFormat/>
    <w:rsid w:val="000C6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B3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C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3E"/>
    <w:rPr>
      <w:rFonts w:ascii="Segoe UI" w:hAnsi="Segoe UI" w:cs="Segoe UI"/>
      <w:sz w:val="18"/>
      <w:szCs w:val="18"/>
    </w:rPr>
  </w:style>
  <w:style w:type="character" w:customStyle="1" w:styleId="Heading1Char">
    <w:name w:val="Heading 1 Char"/>
    <w:basedOn w:val="DefaultParagraphFont"/>
    <w:link w:val="Heading1"/>
    <w:uiPriority w:val="9"/>
    <w:rsid w:val="000C6B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C6B3E"/>
    <w:pPr>
      <w:outlineLvl w:val="9"/>
    </w:pPr>
    <w:rPr>
      <w:lang w:val="en-US"/>
    </w:rPr>
  </w:style>
  <w:style w:type="paragraph" w:styleId="TOC1">
    <w:name w:val="toc 1"/>
    <w:basedOn w:val="Normal"/>
    <w:next w:val="Normal"/>
    <w:autoRedefine/>
    <w:uiPriority w:val="39"/>
    <w:unhideWhenUsed/>
    <w:rsid w:val="000C6B3E"/>
    <w:pPr>
      <w:spacing w:after="100"/>
    </w:pPr>
  </w:style>
  <w:style w:type="character" w:styleId="Hyperlink">
    <w:name w:val="Hyperlink"/>
    <w:basedOn w:val="DefaultParagraphFont"/>
    <w:uiPriority w:val="99"/>
    <w:unhideWhenUsed/>
    <w:rsid w:val="000C6B3E"/>
    <w:rPr>
      <w:color w:val="0563C1" w:themeColor="hyperlink"/>
      <w:u w:val="single"/>
    </w:rPr>
  </w:style>
  <w:style w:type="paragraph" w:styleId="Subtitle">
    <w:name w:val="Subtitle"/>
    <w:basedOn w:val="Normal"/>
    <w:next w:val="Normal"/>
    <w:link w:val="SubtitleChar"/>
    <w:uiPriority w:val="11"/>
    <w:qFormat/>
    <w:rsid w:val="000C6B3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C6B3E"/>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semiHidden/>
    <w:unhideWhenUsed/>
    <w:rsid w:val="00E36A81"/>
    <w:rPr>
      <w:color w:val="954F72" w:themeColor="followedHyperlink"/>
      <w:u w:val="single"/>
    </w:rPr>
  </w:style>
  <w:style w:type="character" w:customStyle="1" w:styleId="field-content">
    <w:name w:val="field-content"/>
    <w:basedOn w:val="DefaultParagraphFont"/>
    <w:rsid w:val="007A3186"/>
  </w:style>
  <w:style w:type="paragraph" w:styleId="Header">
    <w:name w:val="header"/>
    <w:basedOn w:val="Normal"/>
    <w:link w:val="HeaderChar"/>
    <w:uiPriority w:val="99"/>
    <w:unhideWhenUsed/>
    <w:rsid w:val="001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EB1"/>
  </w:style>
  <w:style w:type="paragraph" w:styleId="Footer">
    <w:name w:val="footer"/>
    <w:basedOn w:val="Normal"/>
    <w:link w:val="FooterChar"/>
    <w:uiPriority w:val="99"/>
    <w:unhideWhenUsed/>
    <w:rsid w:val="001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EB1"/>
  </w:style>
  <w:style w:type="character" w:styleId="CommentReference">
    <w:name w:val="annotation reference"/>
    <w:basedOn w:val="DefaultParagraphFont"/>
    <w:uiPriority w:val="99"/>
    <w:unhideWhenUsed/>
    <w:rsid w:val="00024618"/>
    <w:rPr>
      <w:sz w:val="16"/>
      <w:szCs w:val="16"/>
    </w:rPr>
  </w:style>
  <w:style w:type="paragraph" w:styleId="CommentText">
    <w:name w:val="annotation text"/>
    <w:basedOn w:val="Normal"/>
    <w:link w:val="CommentTextChar"/>
    <w:uiPriority w:val="99"/>
    <w:unhideWhenUsed/>
    <w:rsid w:val="00024618"/>
    <w:pPr>
      <w:spacing w:after="25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rsid w:val="000246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10CE"/>
    <w:pPr>
      <w:spacing w:after="160"/>
      <w:jc w:val="left"/>
    </w:pPr>
    <w:rPr>
      <w:rFonts w:eastAsiaTheme="minorHAnsi"/>
      <w:b/>
      <w:bCs/>
    </w:rPr>
  </w:style>
  <w:style w:type="character" w:customStyle="1" w:styleId="CommentSubjectChar">
    <w:name w:val="Comment Subject Char"/>
    <w:basedOn w:val="CommentTextChar"/>
    <w:link w:val="CommentSubject"/>
    <w:uiPriority w:val="99"/>
    <w:semiHidden/>
    <w:rsid w:val="00D910CE"/>
    <w:rPr>
      <w:rFonts w:eastAsiaTheme="minorEastAsia"/>
      <w:b/>
      <w:bCs/>
      <w:sz w:val="20"/>
      <w:szCs w:val="20"/>
    </w:rPr>
  </w:style>
  <w:style w:type="paragraph" w:styleId="TOC2">
    <w:name w:val="toc 2"/>
    <w:basedOn w:val="Normal"/>
    <w:next w:val="Normal"/>
    <w:autoRedefine/>
    <w:uiPriority w:val="39"/>
    <w:semiHidden/>
    <w:unhideWhenUsed/>
    <w:rsid w:val="008316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5271">
      <w:bodyDiv w:val="1"/>
      <w:marLeft w:val="0"/>
      <w:marRight w:val="0"/>
      <w:marTop w:val="0"/>
      <w:marBottom w:val="0"/>
      <w:divBdr>
        <w:top w:val="none" w:sz="0" w:space="0" w:color="auto"/>
        <w:left w:val="none" w:sz="0" w:space="0" w:color="auto"/>
        <w:bottom w:val="none" w:sz="0" w:space="0" w:color="auto"/>
        <w:right w:val="none" w:sz="0" w:space="0" w:color="auto"/>
      </w:divBdr>
    </w:div>
    <w:div w:id="1745909441">
      <w:bodyDiv w:val="1"/>
      <w:marLeft w:val="0"/>
      <w:marRight w:val="0"/>
      <w:marTop w:val="0"/>
      <w:marBottom w:val="0"/>
      <w:divBdr>
        <w:top w:val="none" w:sz="0" w:space="0" w:color="auto"/>
        <w:left w:val="none" w:sz="0" w:space="0" w:color="auto"/>
        <w:bottom w:val="none" w:sz="0" w:space="0" w:color="auto"/>
        <w:right w:val="none" w:sz="0" w:space="0" w:color="auto"/>
      </w:divBdr>
      <w:divsChild>
        <w:div w:id="1229921835">
          <w:marLeft w:val="0"/>
          <w:marRight w:val="0"/>
          <w:marTop w:val="0"/>
          <w:marBottom w:val="0"/>
          <w:divBdr>
            <w:top w:val="none" w:sz="0" w:space="0" w:color="auto"/>
            <w:left w:val="none" w:sz="0" w:space="0" w:color="auto"/>
            <w:bottom w:val="none" w:sz="0" w:space="0" w:color="auto"/>
            <w:right w:val="none" w:sz="0" w:space="0" w:color="auto"/>
          </w:divBdr>
          <w:divsChild>
            <w:div w:id="2110733942">
              <w:marLeft w:val="0"/>
              <w:marRight w:val="0"/>
              <w:marTop w:val="0"/>
              <w:marBottom w:val="0"/>
              <w:divBdr>
                <w:top w:val="none" w:sz="0" w:space="0" w:color="auto"/>
                <w:left w:val="none" w:sz="0" w:space="0" w:color="auto"/>
                <w:bottom w:val="none" w:sz="0" w:space="0" w:color="auto"/>
                <w:right w:val="none" w:sz="0" w:space="0" w:color="auto"/>
              </w:divBdr>
              <w:divsChild>
                <w:div w:id="1558393456">
                  <w:marLeft w:val="0"/>
                  <w:marRight w:val="0"/>
                  <w:marTop w:val="0"/>
                  <w:marBottom w:val="0"/>
                  <w:divBdr>
                    <w:top w:val="none" w:sz="0" w:space="0" w:color="auto"/>
                    <w:left w:val="none" w:sz="0" w:space="0" w:color="auto"/>
                    <w:bottom w:val="none" w:sz="0" w:space="0" w:color="auto"/>
                    <w:right w:val="none" w:sz="0" w:space="0" w:color="auto"/>
                  </w:divBdr>
                  <w:divsChild>
                    <w:div w:id="1271666475">
                      <w:marLeft w:val="1"/>
                      <w:marRight w:val="1"/>
                      <w:marTop w:val="0"/>
                      <w:marBottom w:val="0"/>
                      <w:divBdr>
                        <w:top w:val="none" w:sz="0" w:space="0" w:color="auto"/>
                        <w:left w:val="none" w:sz="0" w:space="0" w:color="auto"/>
                        <w:bottom w:val="none" w:sz="0" w:space="0" w:color="auto"/>
                        <w:right w:val="none" w:sz="0" w:space="0" w:color="auto"/>
                      </w:divBdr>
                      <w:divsChild>
                        <w:div w:id="38553076">
                          <w:marLeft w:val="0"/>
                          <w:marRight w:val="0"/>
                          <w:marTop w:val="0"/>
                          <w:marBottom w:val="0"/>
                          <w:divBdr>
                            <w:top w:val="none" w:sz="0" w:space="0" w:color="auto"/>
                            <w:left w:val="none" w:sz="0" w:space="0" w:color="auto"/>
                            <w:bottom w:val="none" w:sz="0" w:space="0" w:color="auto"/>
                            <w:right w:val="none" w:sz="0" w:space="0" w:color="auto"/>
                          </w:divBdr>
                          <w:divsChild>
                            <w:div w:id="92821053">
                              <w:marLeft w:val="0"/>
                              <w:marRight w:val="0"/>
                              <w:marTop w:val="0"/>
                              <w:marBottom w:val="360"/>
                              <w:divBdr>
                                <w:top w:val="none" w:sz="0" w:space="0" w:color="auto"/>
                                <w:left w:val="none" w:sz="0" w:space="0" w:color="auto"/>
                                <w:bottom w:val="none" w:sz="0" w:space="0" w:color="auto"/>
                                <w:right w:val="none" w:sz="0" w:space="0" w:color="auto"/>
                              </w:divBdr>
                              <w:divsChild>
                                <w:div w:id="546458256">
                                  <w:marLeft w:val="0"/>
                                  <w:marRight w:val="0"/>
                                  <w:marTop w:val="0"/>
                                  <w:marBottom w:val="0"/>
                                  <w:divBdr>
                                    <w:top w:val="none" w:sz="0" w:space="0" w:color="auto"/>
                                    <w:left w:val="none" w:sz="0" w:space="0" w:color="auto"/>
                                    <w:bottom w:val="none" w:sz="0" w:space="0" w:color="auto"/>
                                    <w:right w:val="none" w:sz="0" w:space="0" w:color="auto"/>
                                  </w:divBdr>
                                  <w:divsChild>
                                    <w:div w:id="212499962">
                                      <w:marLeft w:val="0"/>
                                      <w:marRight w:val="0"/>
                                      <w:marTop w:val="0"/>
                                      <w:marBottom w:val="0"/>
                                      <w:divBdr>
                                        <w:top w:val="none" w:sz="0" w:space="0" w:color="auto"/>
                                        <w:left w:val="none" w:sz="0" w:space="0" w:color="auto"/>
                                        <w:bottom w:val="none" w:sz="0" w:space="0" w:color="auto"/>
                                        <w:right w:val="none" w:sz="0" w:space="0" w:color="auto"/>
                                      </w:divBdr>
                                      <w:divsChild>
                                        <w:div w:id="985478361">
                                          <w:marLeft w:val="0"/>
                                          <w:marRight w:val="0"/>
                                          <w:marTop w:val="0"/>
                                          <w:marBottom w:val="0"/>
                                          <w:divBdr>
                                            <w:top w:val="none" w:sz="0" w:space="0" w:color="auto"/>
                                            <w:left w:val="none" w:sz="0" w:space="0" w:color="auto"/>
                                            <w:bottom w:val="none" w:sz="0" w:space="0" w:color="auto"/>
                                            <w:right w:val="none" w:sz="0" w:space="0" w:color="auto"/>
                                          </w:divBdr>
                                          <w:divsChild>
                                            <w:div w:id="841745016">
                                              <w:marLeft w:val="0"/>
                                              <w:marRight w:val="0"/>
                                              <w:marTop w:val="0"/>
                                              <w:marBottom w:val="0"/>
                                              <w:divBdr>
                                                <w:top w:val="none" w:sz="0" w:space="0" w:color="auto"/>
                                                <w:left w:val="none" w:sz="0" w:space="0" w:color="auto"/>
                                                <w:bottom w:val="none" w:sz="0" w:space="0" w:color="auto"/>
                                                <w:right w:val="none" w:sz="0" w:space="0" w:color="auto"/>
                                              </w:divBdr>
                                              <w:divsChild>
                                                <w:div w:id="4887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86984">
      <w:bodyDiv w:val="1"/>
      <w:marLeft w:val="0"/>
      <w:marRight w:val="0"/>
      <w:marTop w:val="0"/>
      <w:marBottom w:val="0"/>
      <w:divBdr>
        <w:top w:val="none" w:sz="0" w:space="0" w:color="auto"/>
        <w:left w:val="none" w:sz="0" w:space="0" w:color="auto"/>
        <w:bottom w:val="none" w:sz="0" w:space="0" w:color="auto"/>
        <w:right w:val="none" w:sz="0" w:space="0" w:color="auto"/>
      </w:divBdr>
      <w:divsChild>
        <w:div w:id="2079404372">
          <w:marLeft w:val="0"/>
          <w:marRight w:val="0"/>
          <w:marTop w:val="0"/>
          <w:marBottom w:val="0"/>
          <w:divBdr>
            <w:top w:val="none" w:sz="0" w:space="0" w:color="auto"/>
            <w:left w:val="none" w:sz="0" w:space="0" w:color="auto"/>
            <w:bottom w:val="none" w:sz="0" w:space="0" w:color="auto"/>
            <w:right w:val="none" w:sz="0" w:space="0" w:color="auto"/>
          </w:divBdr>
          <w:divsChild>
            <w:div w:id="1144544953">
              <w:marLeft w:val="0"/>
              <w:marRight w:val="0"/>
              <w:marTop w:val="0"/>
              <w:marBottom w:val="0"/>
              <w:divBdr>
                <w:top w:val="none" w:sz="0" w:space="0" w:color="auto"/>
                <w:left w:val="none" w:sz="0" w:space="0" w:color="auto"/>
                <w:bottom w:val="none" w:sz="0" w:space="0" w:color="auto"/>
                <w:right w:val="none" w:sz="0" w:space="0" w:color="auto"/>
              </w:divBdr>
              <w:divsChild>
                <w:div w:id="2058360355">
                  <w:marLeft w:val="0"/>
                  <w:marRight w:val="0"/>
                  <w:marTop w:val="0"/>
                  <w:marBottom w:val="0"/>
                  <w:divBdr>
                    <w:top w:val="none" w:sz="0" w:space="0" w:color="auto"/>
                    <w:left w:val="none" w:sz="0" w:space="0" w:color="auto"/>
                    <w:bottom w:val="none" w:sz="0" w:space="0" w:color="auto"/>
                    <w:right w:val="none" w:sz="0" w:space="0" w:color="auto"/>
                  </w:divBdr>
                  <w:divsChild>
                    <w:div w:id="149759158">
                      <w:marLeft w:val="1"/>
                      <w:marRight w:val="1"/>
                      <w:marTop w:val="0"/>
                      <w:marBottom w:val="0"/>
                      <w:divBdr>
                        <w:top w:val="none" w:sz="0" w:space="0" w:color="auto"/>
                        <w:left w:val="none" w:sz="0" w:space="0" w:color="auto"/>
                        <w:bottom w:val="none" w:sz="0" w:space="0" w:color="auto"/>
                        <w:right w:val="none" w:sz="0" w:space="0" w:color="auto"/>
                      </w:divBdr>
                      <w:divsChild>
                        <w:div w:id="46344745">
                          <w:marLeft w:val="0"/>
                          <w:marRight w:val="0"/>
                          <w:marTop w:val="0"/>
                          <w:marBottom w:val="0"/>
                          <w:divBdr>
                            <w:top w:val="none" w:sz="0" w:space="0" w:color="auto"/>
                            <w:left w:val="none" w:sz="0" w:space="0" w:color="auto"/>
                            <w:bottom w:val="none" w:sz="0" w:space="0" w:color="auto"/>
                            <w:right w:val="none" w:sz="0" w:space="0" w:color="auto"/>
                          </w:divBdr>
                          <w:divsChild>
                            <w:div w:id="930627095">
                              <w:marLeft w:val="0"/>
                              <w:marRight w:val="0"/>
                              <w:marTop w:val="0"/>
                              <w:marBottom w:val="360"/>
                              <w:divBdr>
                                <w:top w:val="none" w:sz="0" w:space="0" w:color="auto"/>
                                <w:left w:val="none" w:sz="0" w:space="0" w:color="auto"/>
                                <w:bottom w:val="none" w:sz="0" w:space="0" w:color="auto"/>
                                <w:right w:val="none" w:sz="0" w:space="0" w:color="auto"/>
                              </w:divBdr>
                              <w:divsChild>
                                <w:div w:id="92437858">
                                  <w:marLeft w:val="0"/>
                                  <w:marRight w:val="0"/>
                                  <w:marTop w:val="0"/>
                                  <w:marBottom w:val="0"/>
                                  <w:divBdr>
                                    <w:top w:val="none" w:sz="0" w:space="0" w:color="auto"/>
                                    <w:left w:val="none" w:sz="0" w:space="0" w:color="auto"/>
                                    <w:bottom w:val="none" w:sz="0" w:space="0" w:color="auto"/>
                                    <w:right w:val="none" w:sz="0" w:space="0" w:color="auto"/>
                                  </w:divBdr>
                                  <w:divsChild>
                                    <w:div w:id="2145150566">
                                      <w:marLeft w:val="0"/>
                                      <w:marRight w:val="0"/>
                                      <w:marTop w:val="0"/>
                                      <w:marBottom w:val="0"/>
                                      <w:divBdr>
                                        <w:top w:val="none" w:sz="0" w:space="0" w:color="auto"/>
                                        <w:left w:val="none" w:sz="0" w:space="0" w:color="auto"/>
                                        <w:bottom w:val="none" w:sz="0" w:space="0" w:color="auto"/>
                                        <w:right w:val="none" w:sz="0" w:space="0" w:color="auto"/>
                                      </w:divBdr>
                                      <w:divsChild>
                                        <w:div w:id="1596749735">
                                          <w:marLeft w:val="0"/>
                                          <w:marRight w:val="0"/>
                                          <w:marTop w:val="0"/>
                                          <w:marBottom w:val="0"/>
                                          <w:divBdr>
                                            <w:top w:val="none" w:sz="0" w:space="0" w:color="auto"/>
                                            <w:left w:val="none" w:sz="0" w:space="0" w:color="auto"/>
                                            <w:bottom w:val="none" w:sz="0" w:space="0" w:color="auto"/>
                                            <w:right w:val="none" w:sz="0" w:space="0" w:color="auto"/>
                                          </w:divBdr>
                                          <w:divsChild>
                                            <w:div w:id="116800845">
                                              <w:marLeft w:val="0"/>
                                              <w:marRight w:val="0"/>
                                              <w:marTop w:val="0"/>
                                              <w:marBottom w:val="0"/>
                                              <w:divBdr>
                                                <w:top w:val="none" w:sz="0" w:space="0" w:color="auto"/>
                                                <w:left w:val="none" w:sz="0" w:space="0" w:color="auto"/>
                                                <w:bottom w:val="none" w:sz="0" w:space="0" w:color="auto"/>
                                                <w:right w:val="none" w:sz="0" w:space="0" w:color="auto"/>
                                              </w:divBdr>
                                              <w:divsChild>
                                                <w:div w:id="665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SDR.Notifications@esma.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8</Value>
      <Value>92</Value>
      <Value>23</Value>
      <Value>4</Value>
      <Value>2</Value>
      <Value>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CSDs</TermName>
          <TermId xmlns="http://schemas.microsoft.com/office/infopath/2007/PartnerControls">cd41eee2-dc71-477b-8c46-a3d72bfd022f</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a9b3b1dad23b4ba58c3f3e36a96e1d9c>
    <MeetingDate xmlns="20fbe147-bbda-4e53-b6b1-7e8bbff3fe19" xsi:nil="true"/>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CSDR/SFD Notifications</TermName>
          <TermId xmlns="http://schemas.microsoft.com/office/infopath/2007/PartnerControls">b321b782-2de6-4aad-b6f6-995826c85755</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Year xmlns="20fbe147-bbda-4e53-b6b1-7e8bbff3fe19">2017</Year>
    <_dlc_DocId xmlns="20fbe147-bbda-4e53-b6b1-7e8bbff3fe19">ESMA70-151-564</_dlc_DocId>
    <_dlc_DocIdUrl xmlns="20fbe147-bbda-4e53-b6b1-7e8bbff3fe19">
      <Url>http://sherpa.esma.europa.eu/sites/MKT/PTR/_layouts/15/DocIdRedir.aspx?ID=ESMA70-151-564</Url>
      <Description>ESMA70-151-564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42FA-EECF-416E-A59B-6E2DF30F61EF}">
  <ds:schemaRefs>
    <ds:schemaRef ds:uri="http://schemas.microsoft.com/sharepoint/v3/contenttype/forms"/>
  </ds:schemaRefs>
</ds:datastoreItem>
</file>

<file path=customXml/itemProps2.xml><?xml version="1.0" encoding="utf-8"?>
<ds:datastoreItem xmlns:ds="http://schemas.openxmlformats.org/officeDocument/2006/customXml" ds:itemID="{3E16EBFC-D1E9-4436-8F77-E3E93A83AB13}">
  <ds:schemaRefs>
    <ds:schemaRef ds:uri="http://schemas.microsoft.com/sharepoint/events"/>
  </ds:schemaRefs>
</ds:datastoreItem>
</file>

<file path=customXml/itemProps3.xml><?xml version="1.0" encoding="utf-8"?>
<ds:datastoreItem xmlns:ds="http://schemas.openxmlformats.org/officeDocument/2006/customXml" ds:itemID="{DB29D2F6-A97A-40C1-87D6-BDE68B78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5C971-3A24-473C-AE56-010DA2D7DC0B}">
  <ds:schemaRefs>
    <ds:schemaRef ds:uri="http://purl.org/dc/terms/"/>
    <ds:schemaRef ds:uri="20fbe147-bbda-4e53-b6b1-7e8bbff3fe1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252ED774-6D64-4FBE-ACCA-52073FA2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Karole-Anne Sauvet-Frot</dc:creator>
  <cp:keywords/>
  <dc:description/>
  <cp:lastModifiedBy>Emilie Brakha</cp:lastModifiedBy>
  <cp:revision>2</cp:revision>
  <dcterms:created xsi:type="dcterms:W3CDTF">2017-09-28T11:02:00Z</dcterms:created>
  <dcterms:modified xsi:type="dcterms:W3CDTF">2017-09-28T11:02:00Z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_dlc_DocIdItemGuid">
    <vt:lpwstr>27760f2d-8efe-415c-ace3-42010bfc95a0</vt:lpwstr>
  </property>
  <property fmtid="{D5CDD505-2E9C-101B-9397-08002B2CF9AE}" pid="4" name="EsmaAudience">
    <vt:lpwstr>23;#Public|902c1e7c-3957-48c1-abbe-acf26525b3f2</vt:lpwstr>
  </property>
  <property fmtid="{D5CDD505-2E9C-101B-9397-08002B2CF9AE}" pid="5" name="TeamName">
    <vt:lpwstr>4;#Post-Trading|edaa1ce6-4b9b-4aac-a462-2b226ce43f53</vt:lpwstr>
  </property>
  <property fmtid="{D5CDD505-2E9C-101B-9397-08002B2CF9AE}" pid="6" name="Topic">
    <vt:lpwstr>8;#CSDs|cd41eee2-dc71-477b-8c46-a3d72bfd022f</vt:lpwstr>
  </property>
  <property fmtid="{D5CDD505-2E9C-101B-9397-08002B2CF9AE}" pid="7" name="ConfidentialityLevel">
    <vt:lpwstr>2;#Restricted|187aa7e6-627f-4951-b138-6ff841dc883d</vt:lpwstr>
  </property>
  <property fmtid="{D5CDD505-2E9C-101B-9397-08002B2CF9AE}" pid="8" name="SubTopic">
    <vt:lpwstr>92;#CSDR/SFD Notifications|b321b782-2de6-4aad-b6f6-995826c85755</vt:lpwstr>
  </property>
  <property fmtid="{D5CDD505-2E9C-101B-9397-08002B2CF9AE}" pid="9" name="DocumentType">
    <vt:lpwstr>1;#Note|b9e1c92e-303a-4555-86f0-5c711c65937e</vt:lpwstr>
  </property>
</Properties>
</file>